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A891" w14:textId="77777777" w:rsidR="00EB14FD" w:rsidRPr="00CF0ECF" w:rsidRDefault="00CF0ECF">
      <w:pPr>
        <w:ind w:firstLineChars="200" w:firstLine="602"/>
        <w:jc w:val="center"/>
        <w:rPr>
          <w:rFonts w:ascii="Times New Roman" w:hAnsi="Times New Roman"/>
          <w:b/>
          <w:bCs/>
          <w:sz w:val="30"/>
          <w:szCs w:val="30"/>
        </w:rPr>
      </w:pPr>
      <w:r w:rsidRPr="00CF0ECF">
        <w:rPr>
          <w:rFonts w:ascii="Times New Roman" w:hAnsi="Times New Roman"/>
          <w:b/>
          <w:bCs/>
          <w:sz w:val="30"/>
          <w:szCs w:val="30"/>
        </w:rPr>
        <w:t>Supplementary Information</w:t>
      </w:r>
    </w:p>
    <w:p w14:paraId="09F191BB" w14:textId="77777777" w:rsidR="00EB14FD" w:rsidRPr="00CF0ECF" w:rsidRDefault="00EB14FD">
      <w:pPr>
        <w:spacing w:line="480" w:lineRule="auto"/>
        <w:rPr>
          <w:rFonts w:ascii="Times New Roman" w:hAnsi="Times New Roman"/>
        </w:rPr>
      </w:pPr>
    </w:p>
    <w:p w14:paraId="13705840" w14:textId="77777777" w:rsidR="00EB14FD" w:rsidRPr="00CF0ECF" w:rsidRDefault="00CF0ECF">
      <w:pPr>
        <w:spacing w:line="480" w:lineRule="auto"/>
        <w:jc w:val="center"/>
        <w:rPr>
          <w:rFonts w:ascii="Times New Roman" w:hAnsi="Times New Roman"/>
          <w:b/>
        </w:rPr>
      </w:pPr>
      <w:bookmarkStart w:id="0" w:name="_Hlk74171670"/>
      <w:r w:rsidRPr="00CF0ECF">
        <w:rPr>
          <w:rFonts w:ascii="Times New Roman" w:hAnsi="Times New Roman"/>
          <w:b/>
        </w:rPr>
        <w:t>Extraction of lithium from the simulated pyrometallurgical slag of spent lithium-ion batteries by binary eutectic molten carbonates</w:t>
      </w:r>
    </w:p>
    <w:bookmarkEnd w:id="0"/>
    <w:p w14:paraId="57F65442" w14:textId="77777777" w:rsidR="00EB14FD" w:rsidRPr="00CF0ECF" w:rsidRDefault="00CF0ECF">
      <w:pPr>
        <w:spacing w:line="480" w:lineRule="auto"/>
        <w:rPr>
          <w:rFonts w:ascii="Times New Roman" w:hAnsi="Times New Roman"/>
        </w:rPr>
      </w:pPr>
      <w:r w:rsidRPr="00CF0ECF">
        <w:rPr>
          <w:rFonts w:ascii="Times New Roman" w:hAnsi="Times New Roman"/>
        </w:rPr>
        <w:t>Hui Dang, Zhidong Chang</w:t>
      </w:r>
      <w:r w:rsidRPr="00CF0ECF">
        <w:rPr>
          <w:rFonts w:ascii="Times New Roman" w:hAnsi="Times New Roman"/>
          <w:vertAlign w:val="superscript"/>
        </w:rPr>
        <w:sym w:font="Wingdings" w:char="F02A"/>
      </w:r>
      <w:r w:rsidRPr="00CF0ECF">
        <w:rPr>
          <w:rFonts w:ascii="Times New Roman" w:hAnsi="Times New Roman"/>
        </w:rPr>
        <w:t xml:space="preserve">, </w:t>
      </w:r>
      <w:proofErr w:type="spellStart"/>
      <w:r w:rsidRPr="00CF0ECF">
        <w:rPr>
          <w:rFonts w:ascii="Times New Roman" w:hAnsi="Times New Roman"/>
        </w:rPr>
        <w:t>Hualei</w:t>
      </w:r>
      <w:proofErr w:type="spellEnd"/>
      <w:r w:rsidRPr="00CF0ECF">
        <w:rPr>
          <w:rFonts w:ascii="Times New Roman" w:hAnsi="Times New Roman"/>
        </w:rPr>
        <w:t xml:space="preserve"> Zhou</w:t>
      </w:r>
      <w:r w:rsidRPr="00CF0ECF">
        <w:rPr>
          <w:rFonts w:ascii="Times New Roman" w:hAnsi="Times New Roman"/>
          <w:vertAlign w:val="superscript"/>
        </w:rPr>
        <w:sym w:font="Wingdings" w:char="F02A"/>
      </w:r>
      <w:r w:rsidRPr="00CF0ECF">
        <w:rPr>
          <w:rFonts w:ascii="Times New Roman" w:hAnsi="Times New Roman"/>
        </w:rPr>
        <w:t xml:space="preserve">, </w:t>
      </w:r>
      <w:proofErr w:type="spellStart"/>
      <w:r w:rsidRPr="00CF0ECF">
        <w:rPr>
          <w:rFonts w:ascii="Times New Roman" w:hAnsi="Times New Roman"/>
        </w:rPr>
        <w:t>Sihang</w:t>
      </w:r>
      <w:proofErr w:type="spellEnd"/>
      <w:r w:rsidRPr="00CF0ECF">
        <w:rPr>
          <w:rFonts w:ascii="Times New Roman" w:hAnsi="Times New Roman"/>
        </w:rPr>
        <w:t xml:space="preserve"> Ma, Min Li, </w:t>
      </w:r>
      <w:bookmarkStart w:id="1" w:name="_Hlk66474522"/>
      <w:r w:rsidRPr="00CF0ECF">
        <w:rPr>
          <w:rFonts w:ascii="Times New Roman" w:hAnsi="Times New Roman" w:hint="eastAsia"/>
        </w:rPr>
        <w:t>and</w:t>
      </w:r>
      <w:r w:rsidRPr="00CF0ECF">
        <w:rPr>
          <w:rFonts w:ascii="Times New Roman" w:hAnsi="Times New Roman"/>
        </w:rPr>
        <w:t xml:space="preserve"> Jialing Xiang</w:t>
      </w:r>
      <w:bookmarkEnd w:id="1"/>
    </w:p>
    <w:p w14:paraId="200B4CFB" w14:textId="77777777" w:rsidR="00EB14FD" w:rsidRPr="00CF0ECF" w:rsidRDefault="00CF0ECF">
      <w:pPr>
        <w:spacing w:line="480" w:lineRule="auto"/>
        <w:rPr>
          <w:rFonts w:ascii="Times New Roman" w:hAnsi="Times New Roman"/>
        </w:rPr>
      </w:pPr>
      <w:r w:rsidRPr="00CF0ECF">
        <w:rPr>
          <w:rFonts w:ascii="Times New Roman" w:hAnsi="Times New Roman"/>
        </w:rPr>
        <w:t>Department of Chemistry and Chemical Engineering, School of Chemistry and Biological Engineering, University of Science and Technology Beijing, Beijing 100083, China</w:t>
      </w:r>
    </w:p>
    <w:p w14:paraId="6C950D53" w14:textId="77777777" w:rsidR="00EB14FD" w:rsidRPr="00CF0ECF" w:rsidRDefault="00EB14FD">
      <w:pPr>
        <w:spacing w:line="480" w:lineRule="auto"/>
        <w:rPr>
          <w:rFonts w:ascii="Times New Roman" w:hAnsi="Times New Roman"/>
        </w:rPr>
      </w:pPr>
    </w:p>
    <w:p w14:paraId="2D2D28AF" w14:textId="77777777" w:rsidR="00EB14FD" w:rsidRPr="00CF0ECF" w:rsidRDefault="00CF0ECF">
      <w:pPr>
        <w:spacing w:line="480" w:lineRule="auto"/>
        <w:rPr>
          <w:rFonts w:ascii="Times New Roman" w:hAnsi="Times New Roman"/>
        </w:rPr>
      </w:pPr>
      <w:r w:rsidRPr="00CF0ECF">
        <w:rPr>
          <w:rFonts w:ascii="Times New Roman" w:hAnsi="Times New Roman"/>
        </w:rPr>
        <w:t>Corresponding author</w:t>
      </w:r>
      <w:r w:rsidRPr="00CF0ECF">
        <w:rPr>
          <w:rFonts w:ascii="Times New Roman" w:hAnsi="Times New Roman" w:hint="eastAsia"/>
        </w:rPr>
        <w:t>s</w:t>
      </w:r>
      <w:r w:rsidRPr="00CF0ECF">
        <w:rPr>
          <w:rFonts w:ascii="Times New Roman" w:hAnsi="Times New Roman"/>
        </w:rPr>
        <w:t>: Zhidong Chang, E-mail</w:t>
      </w:r>
      <w:r w:rsidRPr="00CF0ECF">
        <w:rPr>
          <w:rFonts w:ascii="Times New Roman" w:hAnsi="Times New Roman" w:hint="eastAsia"/>
        </w:rPr>
        <w:t>:</w:t>
      </w:r>
      <w:r w:rsidRPr="00CF0ECF">
        <w:rPr>
          <w:rFonts w:ascii="Times New Roman" w:hAnsi="Times New Roman"/>
        </w:rPr>
        <w:t xml:space="preserve"> zdchang@ustb.edu.cn;</w:t>
      </w:r>
    </w:p>
    <w:p w14:paraId="387E7B0C" w14:textId="77777777" w:rsidR="00EB14FD" w:rsidRPr="00CF0ECF" w:rsidRDefault="00CF0ECF">
      <w:pPr>
        <w:spacing w:line="480" w:lineRule="auto"/>
        <w:ind w:firstLineChars="900" w:firstLine="1890"/>
        <w:rPr>
          <w:rFonts w:ascii="Times New Roman" w:hAnsi="Times New Roman"/>
          <w:b/>
          <w:bCs/>
        </w:rPr>
      </w:pPr>
      <w:r w:rsidRPr="00CF0ECF">
        <w:rPr>
          <w:rFonts w:ascii="Times New Roman" w:hAnsi="Times New Roman"/>
        </w:rPr>
        <w:t xml:space="preserve"> </w:t>
      </w:r>
      <w:proofErr w:type="spellStart"/>
      <w:r w:rsidRPr="00CF0ECF">
        <w:rPr>
          <w:rFonts w:ascii="Times New Roman" w:hAnsi="Times New Roman"/>
        </w:rPr>
        <w:t>Hualei</w:t>
      </w:r>
      <w:proofErr w:type="spellEnd"/>
      <w:r w:rsidRPr="00CF0ECF">
        <w:rPr>
          <w:rFonts w:ascii="Times New Roman" w:hAnsi="Times New Roman"/>
        </w:rPr>
        <w:t xml:space="preserve"> Zhou, E-mail: hlzhou@ustb.edu.cn</w:t>
      </w:r>
    </w:p>
    <w:p w14:paraId="67433B0C" w14:textId="77777777" w:rsidR="00EB14FD" w:rsidRPr="00CF0ECF" w:rsidRDefault="00EB14FD">
      <w:pPr>
        <w:spacing w:line="480" w:lineRule="auto"/>
        <w:rPr>
          <w:rFonts w:ascii="Times New Roman" w:hAnsi="Times New Roman"/>
          <w:bCs/>
          <w:sz w:val="20"/>
          <w:szCs w:val="20"/>
        </w:rPr>
      </w:pPr>
    </w:p>
    <w:p w14:paraId="193D2456" w14:textId="77777777" w:rsidR="00EB14FD" w:rsidRPr="00CF0ECF" w:rsidRDefault="00EB14FD">
      <w:pPr>
        <w:spacing w:line="480" w:lineRule="auto"/>
        <w:rPr>
          <w:rFonts w:ascii="Times New Roman" w:hAnsi="Times New Roman"/>
          <w:bCs/>
          <w:sz w:val="20"/>
          <w:szCs w:val="20"/>
        </w:rPr>
      </w:pPr>
    </w:p>
    <w:p w14:paraId="59A7BD13" w14:textId="77777777" w:rsidR="00EB14FD" w:rsidRPr="00CF0ECF" w:rsidRDefault="00EB14FD">
      <w:pPr>
        <w:spacing w:line="480" w:lineRule="auto"/>
        <w:rPr>
          <w:rFonts w:ascii="Times New Roman" w:hAnsi="Times New Roman"/>
          <w:bCs/>
          <w:sz w:val="20"/>
          <w:szCs w:val="20"/>
        </w:rPr>
      </w:pPr>
    </w:p>
    <w:p w14:paraId="130D66D5" w14:textId="77777777" w:rsidR="00EB14FD" w:rsidRPr="00CF0ECF" w:rsidRDefault="00EB14FD">
      <w:pPr>
        <w:spacing w:line="480" w:lineRule="auto"/>
        <w:rPr>
          <w:rFonts w:ascii="Times New Roman" w:hAnsi="Times New Roman"/>
          <w:bCs/>
          <w:sz w:val="20"/>
          <w:szCs w:val="20"/>
        </w:rPr>
      </w:pPr>
    </w:p>
    <w:p w14:paraId="042EC68F" w14:textId="77777777" w:rsidR="00EB14FD" w:rsidRPr="00CF0ECF" w:rsidRDefault="00EB14FD">
      <w:pPr>
        <w:spacing w:line="480" w:lineRule="auto"/>
        <w:rPr>
          <w:rFonts w:ascii="Times New Roman" w:hAnsi="Times New Roman"/>
          <w:bCs/>
          <w:sz w:val="20"/>
          <w:szCs w:val="20"/>
        </w:rPr>
      </w:pPr>
    </w:p>
    <w:p w14:paraId="118412E0" w14:textId="77777777" w:rsidR="00EB14FD" w:rsidRPr="00CF0ECF" w:rsidRDefault="00EB14FD">
      <w:pPr>
        <w:spacing w:line="480" w:lineRule="auto"/>
        <w:rPr>
          <w:rFonts w:ascii="Times New Roman" w:hAnsi="Times New Roman"/>
          <w:bCs/>
          <w:sz w:val="20"/>
          <w:szCs w:val="20"/>
        </w:rPr>
      </w:pPr>
    </w:p>
    <w:p w14:paraId="12D4D453" w14:textId="77777777" w:rsidR="00EB14FD" w:rsidRPr="00CF0ECF" w:rsidRDefault="00EB14FD">
      <w:pPr>
        <w:spacing w:line="480" w:lineRule="auto"/>
        <w:rPr>
          <w:rFonts w:ascii="Times New Roman" w:hAnsi="Times New Roman"/>
          <w:bCs/>
          <w:sz w:val="20"/>
          <w:szCs w:val="20"/>
        </w:rPr>
      </w:pPr>
    </w:p>
    <w:p w14:paraId="09E2296E" w14:textId="77777777" w:rsidR="00EB14FD" w:rsidRPr="00CF0ECF" w:rsidRDefault="00EB14FD">
      <w:pPr>
        <w:spacing w:line="480" w:lineRule="auto"/>
        <w:rPr>
          <w:rFonts w:ascii="Times New Roman" w:hAnsi="Times New Roman"/>
          <w:bCs/>
          <w:sz w:val="20"/>
          <w:szCs w:val="20"/>
        </w:rPr>
      </w:pPr>
    </w:p>
    <w:p w14:paraId="445C1A0E" w14:textId="77777777" w:rsidR="00EB14FD" w:rsidRPr="00CF0ECF" w:rsidRDefault="00EB14FD">
      <w:pPr>
        <w:spacing w:line="480" w:lineRule="auto"/>
        <w:rPr>
          <w:rFonts w:ascii="Times New Roman" w:hAnsi="Times New Roman"/>
          <w:bCs/>
          <w:sz w:val="20"/>
          <w:szCs w:val="20"/>
        </w:rPr>
      </w:pPr>
    </w:p>
    <w:p w14:paraId="1C6074AA" w14:textId="77777777" w:rsidR="00EB14FD" w:rsidRPr="00CF0ECF" w:rsidRDefault="00EB14FD">
      <w:pPr>
        <w:spacing w:line="480" w:lineRule="auto"/>
        <w:rPr>
          <w:rFonts w:ascii="Times New Roman" w:hAnsi="Times New Roman"/>
          <w:bCs/>
          <w:sz w:val="20"/>
          <w:szCs w:val="20"/>
        </w:rPr>
      </w:pPr>
    </w:p>
    <w:p w14:paraId="3B684E9D" w14:textId="77777777" w:rsidR="00EB14FD" w:rsidRPr="00CF0ECF" w:rsidRDefault="00EB14FD">
      <w:pPr>
        <w:spacing w:line="480" w:lineRule="auto"/>
        <w:jc w:val="center"/>
        <w:rPr>
          <w:rFonts w:ascii="Times New Roman" w:hAnsi="Times New Roman"/>
          <w:bCs/>
          <w:sz w:val="20"/>
          <w:szCs w:val="20"/>
        </w:rPr>
      </w:pPr>
    </w:p>
    <w:p w14:paraId="2B9CA0FF" w14:textId="77777777" w:rsidR="00EB14FD" w:rsidRPr="00CF0ECF" w:rsidRDefault="00EB14FD">
      <w:pPr>
        <w:spacing w:line="480" w:lineRule="auto"/>
        <w:jc w:val="center"/>
        <w:rPr>
          <w:rFonts w:ascii="Times New Roman" w:hAnsi="Times New Roman"/>
          <w:bCs/>
          <w:sz w:val="20"/>
          <w:szCs w:val="20"/>
        </w:rPr>
      </w:pPr>
    </w:p>
    <w:p w14:paraId="32D926D0" w14:textId="7BE0AB8B" w:rsidR="00EB14FD" w:rsidRPr="00CF0ECF" w:rsidRDefault="00CF0ECF">
      <w:pPr>
        <w:spacing w:line="480" w:lineRule="auto"/>
        <w:ind w:firstLineChars="200" w:firstLine="400"/>
        <w:rPr>
          <w:rFonts w:ascii="Times New Roman" w:hAnsi="Times New Roman"/>
          <w:sz w:val="20"/>
        </w:rPr>
      </w:pPr>
      <w:r w:rsidRPr="00CF0ECF">
        <w:rPr>
          <w:rFonts w:ascii="Times New Roman" w:hAnsi="Times New Roman"/>
          <w:bCs/>
          <w:iCs/>
          <w:sz w:val="20"/>
          <w:szCs w:val="20"/>
        </w:rPr>
        <w:lastRenderedPageBreak/>
        <w:t>In general</w:t>
      </w:r>
      <w:r w:rsidRPr="00CF0ECF">
        <w:rPr>
          <w:rFonts w:ascii="Times New Roman" w:hAnsi="Times New Roman"/>
          <w:sz w:val="20"/>
        </w:rPr>
        <w:t xml:space="preserve">, the pyrometallurgical treatment of spent </w:t>
      </w:r>
      <w:r w:rsidRPr="00CF0ECF">
        <w:rPr>
          <w:rFonts w:ascii="Times New Roman" w:hAnsi="Times New Roman"/>
          <w:bCs/>
          <w:iCs/>
          <w:sz w:val="20"/>
          <w:szCs w:val="20"/>
        </w:rPr>
        <w:t>LIBs</w:t>
      </w:r>
      <w:r w:rsidRPr="00CF0ECF">
        <w:rPr>
          <w:rFonts w:ascii="Times New Roman" w:hAnsi="Times New Roman"/>
          <w:sz w:val="20"/>
        </w:rPr>
        <w:t xml:space="preserve"> can be divided into three </w:t>
      </w:r>
      <w:r w:rsidRPr="00CF0ECF">
        <w:rPr>
          <w:rFonts w:ascii="Times New Roman" w:hAnsi="Times New Roman"/>
          <w:bCs/>
          <w:iCs/>
          <w:sz w:val="20"/>
          <w:szCs w:val="20"/>
        </w:rPr>
        <w:t>steps.</w:t>
      </w:r>
      <w:r w:rsidRPr="00CF0ECF">
        <w:rPr>
          <w:rFonts w:ascii="Times New Roman" w:hAnsi="Times New Roman"/>
          <w:sz w:val="20"/>
        </w:rPr>
        <w:t xml:space="preserve"> In the first step (&lt;300°C), the electrolyte is evaporated. In the second step (under 700°C), organics</w:t>
      </w:r>
      <w:r w:rsidRPr="00CF0ECF">
        <w:rPr>
          <w:rFonts w:ascii="Times New Roman" w:hAnsi="Times New Roman"/>
          <w:bCs/>
          <w:iCs/>
          <w:sz w:val="20"/>
          <w:szCs w:val="20"/>
        </w:rPr>
        <w:t>,</w:t>
      </w:r>
      <w:r w:rsidRPr="00CF0ECF">
        <w:rPr>
          <w:rFonts w:ascii="Times New Roman" w:hAnsi="Times New Roman"/>
          <w:sz w:val="20"/>
        </w:rPr>
        <w:t xml:space="preserve"> such as plastic</w:t>
      </w:r>
      <w:r w:rsidRPr="00CF0ECF">
        <w:rPr>
          <w:rFonts w:ascii="Times New Roman" w:hAnsi="Times New Roman"/>
          <w:bCs/>
          <w:iCs/>
          <w:sz w:val="20"/>
          <w:szCs w:val="20"/>
        </w:rPr>
        <w:t>,</w:t>
      </w:r>
      <w:r w:rsidRPr="00CF0ECF">
        <w:rPr>
          <w:rFonts w:ascii="Times New Roman" w:hAnsi="Times New Roman"/>
          <w:sz w:val="20"/>
        </w:rPr>
        <w:t xml:space="preserve"> are burned. Finally, in the third step (1200°C), reduction roasting </w:t>
      </w:r>
      <w:r w:rsidRPr="00CF0ECF">
        <w:rPr>
          <w:rFonts w:ascii="Times New Roman" w:hAnsi="Times New Roman"/>
          <w:bCs/>
          <w:iCs/>
          <w:sz w:val="20"/>
          <w:szCs w:val="20"/>
        </w:rPr>
        <w:t>transforms</w:t>
      </w:r>
      <w:r w:rsidRPr="00CF0ECF">
        <w:rPr>
          <w:rFonts w:ascii="Times New Roman" w:hAnsi="Times New Roman"/>
          <w:sz w:val="20"/>
        </w:rPr>
        <w:t xml:space="preserve"> metals</w:t>
      </w:r>
      <w:r w:rsidRPr="00CF0ECF">
        <w:rPr>
          <w:rFonts w:ascii="Times New Roman" w:hAnsi="Times New Roman"/>
          <w:bCs/>
          <w:iCs/>
          <w:sz w:val="20"/>
          <w:szCs w:val="20"/>
        </w:rPr>
        <w:t>,</w:t>
      </w:r>
      <w:r w:rsidRPr="00CF0ECF">
        <w:rPr>
          <w:rFonts w:ascii="Times New Roman" w:hAnsi="Times New Roman"/>
          <w:sz w:val="20"/>
        </w:rPr>
        <w:t xml:space="preserve"> such as Co, Ni, and Cu</w:t>
      </w:r>
      <w:r w:rsidRPr="00CF0ECF">
        <w:rPr>
          <w:rFonts w:ascii="Times New Roman" w:hAnsi="Times New Roman"/>
          <w:bCs/>
          <w:iCs/>
          <w:sz w:val="20"/>
          <w:szCs w:val="20"/>
        </w:rPr>
        <w:t>, into</w:t>
      </w:r>
      <w:r w:rsidRPr="00CF0ECF">
        <w:rPr>
          <w:rFonts w:ascii="Times New Roman" w:hAnsi="Times New Roman"/>
          <w:sz w:val="20"/>
        </w:rPr>
        <w:t xml:space="preserve"> alloys. </w:t>
      </w:r>
      <w:r w:rsidRPr="00CF0ECF">
        <w:rPr>
          <w:rFonts w:ascii="Times New Roman" w:hAnsi="Times New Roman"/>
          <w:bCs/>
          <w:iCs/>
          <w:sz w:val="20"/>
          <w:szCs w:val="20"/>
        </w:rPr>
        <w:t>However</w:t>
      </w:r>
      <w:r w:rsidRPr="00CF0ECF">
        <w:rPr>
          <w:rFonts w:ascii="Times New Roman" w:hAnsi="Times New Roman"/>
          <w:sz w:val="20"/>
        </w:rPr>
        <w:t xml:space="preserve">, Li and Al cannot be reduced </w:t>
      </w:r>
      <w:r w:rsidRPr="00CF0ECF">
        <w:rPr>
          <w:rFonts w:ascii="Times New Roman" w:hAnsi="Times New Roman"/>
          <w:bCs/>
          <w:iCs/>
          <w:sz w:val="20"/>
          <w:szCs w:val="20"/>
        </w:rPr>
        <w:t>by carbon to form slag</w:t>
      </w:r>
      <w:r w:rsidRPr="00CF0ECF">
        <w:rPr>
          <w:rFonts w:ascii="Times New Roman" w:hAnsi="Times New Roman"/>
          <w:sz w:val="20"/>
        </w:rPr>
        <w:t xml:space="preserve"> with the addition of slag-forming agents</w:t>
      </w:r>
      <w:r w:rsidRPr="00CF0ECF">
        <w:rPr>
          <w:rFonts w:ascii="Times New Roman" w:hAnsi="Times New Roman"/>
          <w:bCs/>
          <w:iCs/>
          <w:sz w:val="20"/>
          <w:szCs w:val="20"/>
        </w:rPr>
        <w:t>,</w:t>
      </w:r>
      <w:r w:rsidRPr="00CF0ECF">
        <w:rPr>
          <w:rFonts w:ascii="Times New Roman" w:hAnsi="Times New Roman"/>
          <w:sz w:val="20"/>
        </w:rPr>
        <w:t xml:space="preserve"> such as </w:t>
      </w:r>
      <w:proofErr w:type="spellStart"/>
      <w:r w:rsidRPr="00CF0ECF">
        <w:rPr>
          <w:rFonts w:ascii="Times New Roman" w:hAnsi="Times New Roman"/>
          <w:sz w:val="20"/>
        </w:rPr>
        <w:t>CaO</w:t>
      </w:r>
      <w:proofErr w:type="spellEnd"/>
      <w:r w:rsidRPr="00CF0ECF">
        <w:rPr>
          <w:rFonts w:ascii="Times New Roman" w:hAnsi="Times New Roman"/>
          <w:sz w:val="20"/>
        </w:rPr>
        <w:t>, SiO</w:t>
      </w:r>
      <w:r w:rsidRPr="00CF0ECF">
        <w:rPr>
          <w:rFonts w:ascii="Times New Roman" w:hAnsi="Times New Roman"/>
          <w:sz w:val="20"/>
          <w:vertAlign w:val="subscript"/>
        </w:rPr>
        <w:t>2</w:t>
      </w:r>
      <w:r w:rsidRPr="00CF0ECF">
        <w:rPr>
          <w:rFonts w:ascii="Times New Roman" w:hAnsi="Times New Roman"/>
          <w:sz w:val="20"/>
        </w:rPr>
        <w:t>, and Al</w:t>
      </w:r>
      <w:r w:rsidRPr="00CF0ECF">
        <w:rPr>
          <w:rFonts w:ascii="Times New Roman" w:hAnsi="Times New Roman"/>
          <w:sz w:val="20"/>
          <w:vertAlign w:val="subscript"/>
        </w:rPr>
        <w:t>2</w:t>
      </w:r>
      <w:r w:rsidRPr="00CF0ECF">
        <w:rPr>
          <w:rFonts w:ascii="Times New Roman" w:hAnsi="Times New Roman"/>
          <w:sz w:val="20"/>
        </w:rPr>
        <w:t>O</w:t>
      </w:r>
      <w:r w:rsidRPr="00CF0ECF">
        <w:rPr>
          <w:rFonts w:ascii="Times New Roman" w:hAnsi="Times New Roman"/>
          <w:sz w:val="20"/>
          <w:vertAlign w:val="subscript"/>
        </w:rPr>
        <w:t>3</w:t>
      </w:r>
      <w:r w:rsidRPr="00CF0ECF">
        <w:rPr>
          <w:rFonts w:ascii="Times New Roman" w:hAnsi="Times New Roman"/>
          <w:sz w:val="20"/>
        </w:rPr>
        <w:t xml:space="preserve">. </w:t>
      </w:r>
      <w:r w:rsidRPr="00CF0ECF">
        <w:rPr>
          <w:rFonts w:ascii="Times New Roman" w:hAnsi="Times New Roman"/>
          <w:bCs/>
          <w:iCs/>
          <w:sz w:val="20"/>
          <w:szCs w:val="20"/>
        </w:rPr>
        <w:t>Slag</w:t>
      </w:r>
      <w:r w:rsidRPr="00CF0ECF">
        <w:rPr>
          <w:rFonts w:ascii="Times New Roman" w:hAnsi="Times New Roman"/>
          <w:sz w:val="20"/>
        </w:rPr>
        <w:t xml:space="preserve"> is</w:t>
      </w:r>
      <w:r w:rsidRPr="00CF0ECF">
        <w:rPr>
          <w:rFonts w:ascii="Times New Roman" w:hAnsi="Times New Roman"/>
          <w:bCs/>
          <w:iCs/>
          <w:sz w:val="20"/>
          <w:szCs w:val="20"/>
        </w:rPr>
        <w:t xml:space="preserve"> usually</w:t>
      </w:r>
      <w:r w:rsidRPr="00CF0ECF">
        <w:rPr>
          <w:rFonts w:ascii="Times New Roman" w:hAnsi="Times New Roman"/>
          <w:sz w:val="20"/>
        </w:rPr>
        <w:t xml:space="preserve"> composed of silica (</w:t>
      </w:r>
      <w:r w:rsidRPr="00CF0ECF">
        <w:rPr>
          <w:rFonts w:ascii="Times New Roman" w:hAnsi="Times New Roman"/>
          <w:bCs/>
          <w:iCs/>
          <w:sz w:val="20"/>
          <w:szCs w:val="20"/>
        </w:rPr>
        <w:t>30wt%–60wt</w:t>
      </w:r>
      <w:r w:rsidRPr="00CF0ECF">
        <w:rPr>
          <w:rFonts w:ascii="Times New Roman" w:hAnsi="Times New Roman"/>
          <w:sz w:val="20"/>
        </w:rPr>
        <w:t>%), calcium oxide (</w:t>
      </w:r>
      <w:r w:rsidRPr="00CF0ECF">
        <w:rPr>
          <w:rFonts w:ascii="Times New Roman" w:hAnsi="Times New Roman"/>
          <w:bCs/>
          <w:iCs/>
          <w:sz w:val="20"/>
          <w:szCs w:val="20"/>
        </w:rPr>
        <w:t>20wt%–35wt</w:t>
      </w:r>
      <w:r w:rsidRPr="00CF0ECF">
        <w:rPr>
          <w:rFonts w:ascii="Times New Roman" w:hAnsi="Times New Roman"/>
          <w:sz w:val="20"/>
        </w:rPr>
        <w:t>%), alumina (</w:t>
      </w:r>
      <w:r w:rsidRPr="00CF0ECF">
        <w:rPr>
          <w:rFonts w:ascii="Times New Roman" w:hAnsi="Times New Roman"/>
          <w:bCs/>
          <w:iCs/>
          <w:sz w:val="20"/>
          <w:szCs w:val="20"/>
        </w:rPr>
        <w:t>10wt%–25wt</w:t>
      </w:r>
      <w:r w:rsidRPr="00CF0ECF">
        <w:rPr>
          <w:rFonts w:ascii="Times New Roman" w:hAnsi="Times New Roman"/>
          <w:sz w:val="20"/>
        </w:rPr>
        <w:t>%), and lithium oxide (0.</w:t>
      </w:r>
      <w:r w:rsidRPr="00CF0ECF">
        <w:rPr>
          <w:rFonts w:ascii="Times New Roman" w:hAnsi="Times New Roman"/>
          <w:bCs/>
          <w:iCs/>
          <w:sz w:val="20"/>
          <w:szCs w:val="20"/>
        </w:rPr>
        <w:t>5wt%–15wt</w:t>
      </w:r>
      <w:r w:rsidRPr="00CF0ECF">
        <w:rPr>
          <w:rFonts w:ascii="Times New Roman" w:hAnsi="Times New Roman"/>
          <w:sz w:val="20"/>
        </w:rPr>
        <w:t>%) [1</w:t>
      </w:r>
      <w:r w:rsidRPr="00CF0ECF">
        <w:rPr>
          <w:rFonts w:ascii="Times New Roman" w:hAnsi="Times New Roman"/>
          <w:sz w:val="20"/>
        </w:rPr>
        <w:sym w:font="Symbol" w:char="F02D"/>
      </w:r>
      <w:r w:rsidRPr="00CF0ECF">
        <w:rPr>
          <w:rFonts w:ascii="Times New Roman" w:hAnsi="Times New Roman"/>
          <w:sz w:val="20"/>
        </w:rPr>
        <w:t xml:space="preserve">2]. </w:t>
      </w:r>
      <w:r w:rsidRPr="00CF0ECF">
        <w:rPr>
          <w:rFonts w:ascii="Times New Roman" w:hAnsi="Times New Roman"/>
          <w:bCs/>
          <w:iCs/>
          <w:sz w:val="20"/>
          <w:szCs w:val="20"/>
        </w:rPr>
        <w:t xml:space="preserve">Actual slag </w:t>
      </w:r>
      <w:r w:rsidRPr="00CF0ECF">
        <w:rPr>
          <w:rFonts w:ascii="Times New Roman" w:hAnsi="Times New Roman"/>
          <w:sz w:val="20"/>
        </w:rPr>
        <w:t xml:space="preserve">also contains a small </w:t>
      </w:r>
      <w:proofErr w:type="gramStart"/>
      <w:r w:rsidRPr="00CF0ECF">
        <w:rPr>
          <w:rFonts w:ascii="Times New Roman" w:hAnsi="Times New Roman"/>
          <w:bCs/>
          <w:iCs/>
          <w:sz w:val="20"/>
          <w:szCs w:val="20"/>
        </w:rPr>
        <w:t>amount</w:t>
      </w:r>
      <w:proofErr w:type="gramEnd"/>
      <w:r w:rsidRPr="00CF0ECF">
        <w:rPr>
          <w:rFonts w:ascii="Times New Roman" w:hAnsi="Times New Roman"/>
          <w:sz w:val="20"/>
        </w:rPr>
        <w:t xml:space="preserve"> of metals, such as Fe and Ni,</w:t>
      </w:r>
      <w:r w:rsidRPr="00CF0ECF">
        <w:rPr>
          <w:rFonts w:ascii="Times New Roman" w:hAnsi="Times New Roman"/>
          <w:bCs/>
          <w:iCs/>
          <w:sz w:val="20"/>
          <w:szCs w:val="20"/>
        </w:rPr>
        <w:t xml:space="preserve"> although ensuring that as little metal enters the slag as possible may be done during the disposal of spent LIBs [3].</w:t>
      </w:r>
      <w:r w:rsidRPr="00CF0ECF">
        <w:rPr>
          <w:rFonts w:ascii="Times New Roman" w:hAnsi="Times New Roman"/>
          <w:sz w:val="20"/>
        </w:rPr>
        <w:t xml:space="preserve"> </w:t>
      </w:r>
      <w:r w:rsidRPr="00CF0ECF">
        <w:rPr>
          <w:rFonts w:ascii="Times New Roman" w:hAnsi="Times New Roman"/>
          <w:bCs/>
          <w:iCs/>
          <w:sz w:val="20"/>
          <w:szCs w:val="20"/>
        </w:rPr>
        <w:t>Given these complexities</w:t>
      </w:r>
      <w:r w:rsidRPr="00CF0ECF">
        <w:rPr>
          <w:rFonts w:ascii="Times New Roman" w:hAnsi="Times New Roman"/>
          <w:sz w:val="20"/>
        </w:rPr>
        <w:t xml:space="preserve">, the composition of actual slag is difficult to </w:t>
      </w:r>
      <w:r w:rsidRPr="00CF0ECF">
        <w:rPr>
          <w:rFonts w:ascii="Times New Roman" w:hAnsi="Times New Roman"/>
          <w:bCs/>
          <w:iCs/>
          <w:sz w:val="20"/>
          <w:szCs w:val="20"/>
        </w:rPr>
        <w:t>analyze.</w:t>
      </w:r>
      <w:r w:rsidRPr="00CF0ECF">
        <w:rPr>
          <w:rFonts w:ascii="Times New Roman" w:hAnsi="Times New Roman"/>
          <w:sz w:val="20"/>
        </w:rPr>
        <w:t xml:space="preserve"> Hence, simulated slag </w:t>
      </w:r>
      <w:r w:rsidRPr="00CF0ECF">
        <w:rPr>
          <w:rFonts w:ascii="Times New Roman" w:hAnsi="Times New Roman"/>
          <w:bCs/>
          <w:iCs/>
          <w:sz w:val="20"/>
          <w:szCs w:val="20"/>
        </w:rPr>
        <w:t>containing known</w:t>
      </w:r>
      <w:r w:rsidRPr="00CF0ECF">
        <w:rPr>
          <w:rFonts w:ascii="Times New Roman" w:hAnsi="Times New Roman"/>
          <w:sz w:val="20"/>
        </w:rPr>
        <w:t xml:space="preserve"> main components (</w:t>
      </w:r>
      <w:r w:rsidRPr="00CF0ECF">
        <w:rPr>
          <w:rFonts w:ascii="Times New Roman" w:hAnsi="Times New Roman"/>
          <w:bCs/>
          <w:iCs/>
          <w:sz w:val="20"/>
          <w:szCs w:val="20"/>
        </w:rPr>
        <w:t xml:space="preserve">e.g., </w:t>
      </w:r>
      <w:r w:rsidRPr="00CF0ECF">
        <w:rPr>
          <w:rFonts w:ascii="Times New Roman" w:hAnsi="Times New Roman"/>
          <w:sz w:val="20"/>
        </w:rPr>
        <w:t>SiO</w:t>
      </w:r>
      <w:r w:rsidRPr="00CF0ECF">
        <w:rPr>
          <w:rFonts w:ascii="Times New Roman" w:hAnsi="Times New Roman"/>
          <w:sz w:val="20"/>
          <w:vertAlign w:val="subscript"/>
        </w:rPr>
        <w:t>2</w:t>
      </w:r>
      <w:r w:rsidRPr="00CF0ECF">
        <w:rPr>
          <w:rFonts w:ascii="Times New Roman" w:hAnsi="Times New Roman"/>
          <w:sz w:val="20"/>
        </w:rPr>
        <w:t xml:space="preserve">, </w:t>
      </w:r>
      <w:proofErr w:type="spellStart"/>
      <w:r w:rsidRPr="00CF0ECF">
        <w:rPr>
          <w:rFonts w:ascii="Times New Roman" w:hAnsi="Times New Roman"/>
          <w:sz w:val="20"/>
        </w:rPr>
        <w:t>CaO</w:t>
      </w:r>
      <w:proofErr w:type="spellEnd"/>
      <w:r w:rsidRPr="00CF0ECF">
        <w:rPr>
          <w:rFonts w:ascii="Times New Roman" w:hAnsi="Times New Roman"/>
          <w:sz w:val="20"/>
        </w:rPr>
        <w:t>, Al</w:t>
      </w:r>
      <w:r w:rsidRPr="00CF0ECF">
        <w:rPr>
          <w:rFonts w:ascii="Times New Roman" w:hAnsi="Times New Roman"/>
          <w:sz w:val="20"/>
          <w:vertAlign w:val="subscript"/>
        </w:rPr>
        <w:t>2</w:t>
      </w:r>
      <w:r w:rsidRPr="00CF0ECF">
        <w:rPr>
          <w:rFonts w:ascii="Times New Roman" w:hAnsi="Times New Roman"/>
          <w:sz w:val="20"/>
        </w:rPr>
        <w:t>O</w:t>
      </w:r>
      <w:r w:rsidRPr="00CF0ECF">
        <w:rPr>
          <w:rFonts w:ascii="Times New Roman" w:hAnsi="Times New Roman"/>
          <w:sz w:val="20"/>
          <w:vertAlign w:val="subscript"/>
        </w:rPr>
        <w:t>3</w:t>
      </w:r>
      <w:r w:rsidRPr="00CF0ECF">
        <w:rPr>
          <w:rFonts w:ascii="Times New Roman" w:hAnsi="Times New Roman"/>
          <w:sz w:val="20"/>
        </w:rPr>
        <w:t>, and Li</w:t>
      </w:r>
      <w:r w:rsidRPr="00CF0ECF">
        <w:rPr>
          <w:rFonts w:ascii="Times New Roman" w:hAnsi="Times New Roman"/>
          <w:sz w:val="20"/>
          <w:vertAlign w:val="subscript"/>
        </w:rPr>
        <w:t>2</w:t>
      </w:r>
      <w:r w:rsidRPr="00CF0ECF">
        <w:rPr>
          <w:rFonts w:ascii="Times New Roman" w:hAnsi="Times New Roman"/>
          <w:sz w:val="20"/>
        </w:rPr>
        <w:t>O) was prepared</w:t>
      </w:r>
      <w:r w:rsidRPr="00CF0ECF">
        <w:rPr>
          <w:rFonts w:ascii="Times New Roman" w:hAnsi="Times New Roman"/>
          <w:bCs/>
          <w:iCs/>
          <w:sz w:val="20"/>
          <w:szCs w:val="20"/>
        </w:rPr>
        <w:t xml:space="preserve"> for this study.</w:t>
      </w:r>
      <w:r w:rsidRPr="00CF0ECF">
        <w:rPr>
          <w:rFonts w:ascii="Times New Roman" w:hAnsi="Times New Roman"/>
          <w:sz w:val="20"/>
        </w:rPr>
        <w:t xml:space="preserve"> The composition of the simulated slag and the roasting </w:t>
      </w:r>
      <w:r w:rsidRPr="00CF0ECF">
        <w:rPr>
          <w:rFonts w:ascii="Times New Roman" w:hAnsi="Times New Roman"/>
          <w:bCs/>
          <w:iCs/>
          <w:sz w:val="20"/>
          <w:szCs w:val="20"/>
        </w:rPr>
        <w:t>temperatures</w:t>
      </w:r>
      <w:r w:rsidRPr="00CF0ECF">
        <w:rPr>
          <w:rFonts w:ascii="Times New Roman" w:hAnsi="Times New Roman"/>
          <w:sz w:val="20"/>
        </w:rPr>
        <w:t xml:space="preserve"> met the experimental </w:t>
      </w:r>
      <w:r w:rsidRPr="00CF0ECF">
        <w:rPr>
          <w:rFonts w:ascii="Times New Roman" w:hAnsi="Times New Roman"/>
          <w:bCs/>
          <w:iCs/>
          <w:sz w:val="20"/>
          <w:szCs w:val="20"/>
        </w:rPr>
        <w:t>ranges described above</w:t>
      </w:r>
      <w:r w:rsidRPr="00CF0ECF">
        <w:rPr>
          <w:rFonts w:ascii="Times New Roman" w:hAnsi="Times New Roman"/>
          <w:sz w:val="20"/>
        </w:rPr>
        <w:t>.</w:t>
      </w:r>
    </w:p>
    <w:p w14:paraId="4FB2BAAD" w14:textId="77777777" w:rsidR="00EB14FD" w:rsidRPr="00CF0ECF" w:rsidRDefault="00CF0ECF">
      <w:pPr>
        <w:spacing w:line="480" w:lineRule="auto"/>
        <w:ind w:firstLineChars="200" w:firstLine="420"/>
        <w:rPr>
          <w:rFonts w:ascii="Times New Roman" w:hAnsi="Times New Roman"/>
          <w:bCs/>
        </w:rPr>
      </w:pPr>
      <w:r w:rsidRPr="00CF0ECF">
        <w:rPr>
          <w:rFonts w:ascii="Times New Roman" w:hAnsi="Times New Roman" w:hint="eastAsia"/>
          <w:bCs/>
        </w:rPr>
        <w:t>The particle size distribution and XRD pattern of the simulated slag are shown in Fig. S1 and S2, respectively.</w:t>
      </w:r>
    </w:p>
    <w:p w14:paraId="16B052C5" w14:textId="77777777" w:rsidR="00EB14FD" w:rsidRPr="00CF0ECF" w:rsidRDefault="00CF0ECF">
      <w:pPr>
        <w:spacing w:line="480" w:lineRule="auto"/>
        <w:jc w:val="center"/>
      </w:pPr>
      <w:r w:rsidRPr="00CF0ECF">
        <w:rPr>
          <w:rFonts w:hint="eastAsia"/>
          <w:noProof/>
        </w:rPr>
        <w:drawing>
          <wp:inline distT="0" distB="0" distL="114300" distR="114300" wp14:anchorId="2BCB3F44" wp14:editId="2F46E48D">
            <wp:extent cx="2879725" cy="2258060"/>
            <wp:effectExtent l="0" t="0" r="15875" b="8890"/>
            <wp:docPr id="1" name="图片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
                    <pic:cNvPicPr>
                      <a:picLocks noChangeAspect="1"/>
                    </pic:cNvPicPr>
                  </pic:nvPicPr>
                  <pic:blipFill>
                    <a:blip r:embed="rId6"/>
                    <a:stretch>
                      <a:fillRect/>
                    </a:stretch>
                  </pic:blipFill>
                  <pic:spPr>
                    <a:xfrm>
                      <a:off x="0" y="0"/>
                      <a:ext cx="2879725" cy="2258060"/>
                    </a:xfrm>
                    <a:prstGeom prst="rect">
                      <a:avLst/>
                    </a:prstGeom>
                  </pic:spPr>
                </pic:pic>
              </a:graphicData>
            </a:graphic>
          </wp:inline>
        </w:drawing>
      </w:r>
    </w:p>
    <w:p w14:paraId="056413D4" w14:textId="77777777" w:rsidR="00EB14FD" w:rsidRPr="00CF0ECF" w:rsidRDefault="00CF0ECF">
      <w:pPr>
        <w:spacing w:line="480" w:lineRule="auto"/>
        <w:jc w:val="center"/>
        <w:rPr>
          <w:rFonts w:ascii="Times New Roman" w:hAnsi="Times New Roman"/>
          <w:bCs/>
          <w:sz w:val="20"/>
          <w:szCs w:val="20"/>
        </w:rPr>
      </w:pPr>
      <w:r w:rsidRPr="00CF0ECF">
        <w:rPr>
          <w:rFonts w:ascii="Times New Roman" w:hAnsi="Times New Roman"/>
          <w:bCs/>
          <w:sz w:val="20"/>
          <w:szCs w:val="20"/>
        </w:rPr>
        <w:t>Fig. S1.  Particle size distribution of the simulated slag.</w:t>
      </w:r>
    </w:p>
    <w:p w14:paraId="6B5971B2" w14:textId="77777777" w:rsidR="00EB14FD" w:rsidRPr="00CF0ECF" w:rsidRDefault="00EB14FD">
      <w:pPr>
        <w:spacing w:line="480" w:lineRule="auto"/>
        <w:jc w:val="center"/>
        <w:rPr>
          <w:rFonts w:ascii="Times New Roman" w:hAnsi="Times New Roman"/>
          <w:bCs/>
          <w:sz w:val="20"/>
          <w:szCs w:val="20"/>
          <w:lang w:eastAsia="en-US"/>
        </w:rPr>
      </w:pPr>
    </w:p>
    <w:p w14:paraId="616BB704" w14:textId="77777777" w:rsidR="00EB14FD" w:rsidRPr="00CF0ECF" w:rsidRDefault="00CF0ECF">
      <w:pPr>
        <w:spacing w:line="480" w:lineRule="auto"/>
        <w:jc w:val="center"/>
        <w:rPr>
          <w:rFonts w:ascii="Times New Roman" w:hAnsi="Times New Roman"/>
          <w:bCs/>
          <w:sz w:val="20"/>
          <w:szCs w:val="20"/>
        </w:rPr>
      </w:pPr>
      <w:r w:rsidRPr="00CF0ECF">
        <w:rPr>
          <w:rFonts w:ascii="Times New Roman" w:hAnsi="Times New Roman" w:hint="eastAsia"/>
          <w:bCs/>
          <w:noProof/>
          <w:sz w:val="20"/>
          <w:szCs w:val="20"/>
        </w:rPr>
        <w:lastRenderedPageBreak/>
        <w:drawing>
          <wp:inline distT="0" distB="0" distL="114300" distR="114300" wp14:anchorId="4DBACEB0" wp14:editId="12980B22">
            <wp:extent cx="2879725" cy="2293620"/>
            <wp:effectExtent l="0" t="0" r="15875" b="11430"/>
            <wp:docPr id="2"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
                    <pic:cNvPicPr>
                      <a:picLocks noChangeAspect="1"/>
                    </pic:cNvPicPr>
                  </pic:nvPicPr>
                  <pic:blipFill>
                    <a:blip r:embed="rId7"/>
                    <a:stretch>
                      <a:fillRect/>
                    </a:stretch>
                  </pic:blipFill>
                  <pic:spPr>
                    <a:xfrm>
                      <a:off x="0" y="0"/>
                      <a:ext cx="2879725" cy="2293620"/>
                    </a:xfrm>
                    <a:prstGeom prst="rect">
                      <a:avLst/>
                    </a:prstGeom>
                  </pic:spPr>
                </pic:pic>
              </a:graphicData>
            </a:graphic>
          </wp:inline>
        </w:drawing>
      </w:r>
    </w:p>
    <w:p w14:paraId="7C59104E" w14:textId="77777777" w:rsidR="00EB14FD" w:rsidRPr="00CF0ECF" w:rsidRDefault="00CF0ECF">
      <w:pPr>
        <w:spacing w:line="480" w:lineRule="auto"/>
        <w:jc w:val="center"/>
        <w:rPr>
          <w:rFonts w:ascii="Times New Roman" w:hAnsi="Times New Roman"/>
          <w:sz w:val="20"/>
          <w:szCs w:val="20"/>
        </w:rPr>
      </w:pPr>
      <w:r w:rsidRPr="00CF0ECF">
        <w:rPr>
          <w:rFonts w:ascii="Times New Roman" w:hAnsi="Times New Roman"/>
          <w:sz w:val="20"/>
          <w:szCs w:val="20"/>
        </w:rPr>
        <w:t>Fig. S2.  XRD pattern of the simulated slag.</w:t>
      </w:r>
    </w:p>
    <w:p w14:paraId="7FD38A33" w14:textId="77777777" w:rsidR="00EB14FD" w:rsidRPr="00CF0ECF" w:rsidRDefault="00CF0ECF">
      <w:pPr>
        <w:spacing w:line="480" w:lineRule="auto"/>
        <w:ind w:firstLineChars="200" w:firstLine="400"/>
        <w:rPr>
          <w:rFonts w:ascii="Times New Roman" w:hAnsi="Times New Roman"/>
          <w:bCs/>
          <w:sz w:val="20"/>
          <w:szCs w:val="20"/>
        </w:rPr>
      </w:pPr>
      <w:r w:rsidRPr="00CF0ECF">
        <w:rPr>
          <w:rFonts w:ascii="Times New Roman" w:hAnsi="Times New Roman"/>
          <w:bCs/>
          <w:sz w:val="20"/>
          <w:szCs w:val="20"/>
        </w:rPr>
        <w:t>The effect of the mass of K</w:t>
      </w:r>
      <w:r w:rsidRPr="00CF0ECF">
        <w:rPr>
          <w:rFonts w:ascii="Times New Roman" w:hAnsi="Times New Roman"/>
          <w:bCs/>
          <w:sz w:val="20"/>
          <w:szCs w:val="20"/>
          <w:vertAlign w:val="subscript"/>
        </w:rPr>
        <w:t>2</w:t>
      </w:r>
      <w:r w:rsidRPr="00CF0ECF">
        <w:rPr>
          <w:rFonts w:ascii="Times New Roman" w:hAnsi="Times New Roman"/>
          <w:bCs/>
          <w:sz w:val="20"/>
          <w:szCs w:val="20"/>
        </w:rPr>
        <w:t>CO</w:t>
      </w:r>
      <w:r w:rsidRPr="00CF0ECF">
        <w:rPr>
          <w:rFonts w:ascii="Times New Roman" w:hAnsi="Times New Roman"/>
          <w:bCs/>
          <w:sz w:val="20"/>
          <w:szCs w:val="20"/>
          <w:vertAlign w:val="subscript"/>
        </w:rPr>
        <w:t>3</w:t>
      </w:r>
      <w:r w:rsidRPr="00CF0ECF">
        <w:rPr>
          <w:rFonts w:ascii="Times New Roman" w:hAnsi="Times New Roman"/>
          <w:bCs/>
          <w:sz w:val="20"/>
          <w:szCs w:val="20"/>
        </w:rPr>
        <w:t xml:space="preserve"> and Na</w:t>
      </w:r>
      <w:r w:rsidRPr="00CF0ECF">
        <w:rPr>
          <w:rFonts w:ascii="Times New Roman" w:hAnsi="Times New Roman"/>
          <w:bCs/>
          <w:sz w:val="20"/>
          <w:szCs w:val="20"/>
          <w:vertAlign w:val="subscript"/>
        </w:rPr>
        <w:t>2</w:t>
      </w:r>
      <w:r w:rsidRPr="00CF0ECF">
        <w:rPr>
          <w:rFonts w:ascii="Times New Roman" w:hAnsi="Times New Roman"/>
          <w:bCs/>
          <w:sz w:val="20"/>
          <w:szCs w:val="20"/>
        </w:rPr>
        <w:t>CO</w:t>
      </w:r>
      <w:r w:rsidRPr="00CF0ECF">
        <w:rPr>
          <w:rFonts w:ascii="Times New Roman" w:hAnsi="Times New Roman"/>
          <w:bCs/>
          <w:sz w:val="20"/>
          <w:szCs w:val="20"/>
          <w:vertAlign w:val="subscript"/>
        </w:rPr>
        <w:t>3</w:t>
      </w:r>
      <w:r w:rsidRPr="00CF0ECF">
        <w:rPr>
          <w:rFonts w:ascii="Times New Roman" w:hAnsi="Times New Roman"/>
          <w:bCs/>
          <w:sz w:val="20"/>
          <w:szCs w:val="20"/>
        </w:rPr>
        <w:t xml:space="preserve"> on the lithium extraction efficiency of the proposed system was studied, and the results are shown in Fig. S3. The lithium extraction efficiency increases with the increasing mass of the roasting agents.</w:t>
      </w:r>
    </w:p>
    <w:p w14:paraId="7169CF1E" w14:textId="77777777" w:rsidR="00EB14FD" w:rsidRPr="00CF0ECF" w:rsidRDefault="00CF0ECF">
      <w:pPr>
        <w:spacing w:line="480" w:lineRule="auto"/>
        <w:jc w:val="center"/>
        <w:rPr>
          <w:sz w:val="20"/>
          <w:szCs w:val="20"/>
        </w:rPr>
      </w:pPr>
      <w:r w:rsidRPr="00CF0ECF">
        <w:rPr>
          <w:rFonts w:hint="eastAsia"/>
          <w:noProof/>
          <w:sz w:val="20"/>
          <w:szCs w:val="20"/>
        </w:rPr>
        <w:drawing>
          <wp:inline distT="0" distB="0" distL="114300" distR="114300" wp14:anchorId="6DEFDEFB" wp14:editId="264A35E7">
            <wp:extent cx="2879725" cy="2218055"/>
            <wp:effectExtent l="0" t="0" r="15875" b="10795"/>
            <wp:docPr id="3" name="图片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
                    <pic:cNvPicPr>
                      <a:picLocks noChangeAspect="1"/>
                    </pic:cNvPicPr>
                  </pic:nvPicPr>
                  <pic:blipFill>
                    <a:blip r:embed="rId8"/>
                    <a:stretch>
                      <a:fillRect/>
                    </a:stretch>
                  </pic:blipFill>
                  <pic:spPr>
                    <a:xfrm>
                      <a:off x="0" y="0"/>
                      <a:ext cx="2879725" cy="2218055"/>
                    </a:xfrm>
                    <a:prstGeom prst="rect">
                      <a:avLst/>
                    </a:prstGeom>
                  </pic:spPr>
                </pic:pic>
              </a:graphicData>
            </a:graphic>
          </wp:inline>
        </w:drawing>
      </w:r>
    </w:p>
    <w:p w14:paraId="033BB733" w14:textId="77777777" w:rsidR="00EB14FD" w:rsidRPr="00CF0ECF" w:rsidRDefault="00CF0ECF">
      <w:pPr>
        <w:spacing w:line="480" w:lineRule="auto"/>
        <w:ind w:firstLineChars="200" w:firstLine="400"/>
        <w:jc w:val="center"/>
        <w:rPr>
          <w:rFonts w:ascii="Times New Roman" w:hAnsi="Times New Roman"/>
          <w:sz w:val="20"/>
          <w:szCs w:val="20"/>
        </w:rPr>
      </w:pPr>
      <w:r w:rsidRPr="00CF0ECF">
        <w:rPr>
          <w:rFonts w:ascii="Times New Roman" w:hAnsi="Times New Roman"/>
          <w:sz w:val="20"/>
          <w:szCs w:val="20"/>
        </w:rPr>
        <w:t xml:space="preserve">Fig. S3.  Effect of the mass of </w:t>
      </w:r>
      <w:r w:rsidRPr="00CF0ECF">
        <w:rPr>
          <w:rFonts w:ascii="Times New Roman" w:hAnsi="Times New Roman"/>
          <w:bCs/>
          <w:sz w:val="20"/>
          <w:szCs w:val="20"/>
        </w:rPr>
        <w:t>K</w:t>
      </w:r>
      <w:r w:rsidRPr="00CF0ECF">
        <w:rPr>
          <w:rFonts w:ascii="Times New Roman" w:hAnsi="Times New Roman"/>
          <w:bCs/>
          <w:sz w:val="20"/>
          <w:szCs w:val="20"/>
          <w:vertAlign w:val="subscript"/>
        </w:rPr>
        <w:t>2</w:t>
      </w:r>
      <w:r w:rsidRPr="00CF0ECF">
        <w:rPr>
          <w:rFonts w:ascii="Times New Roman" w:hAnsi="Times New Roman"/>
          <w:bCs/>
          <w:sz w:val="20"/>
          <w:szCs w:val="20"/>
        </w:rPr>
        <w:t>CO</w:t>
      </w:r>
      <w:r w:rsidRPr="00CF0ECF">
        <w:rPr>
          <w:rFonts w:ascii="Times New Roman" w:hAnsi="Times New Roman"/>
          <w:bCs/>
          <w:sz w:val="20"/>
          <w:szCs w:val="20"/>
          <w:vertAlign w:val="subscript"/>
        </w:rPr>
        <w:t>3</w:t>
      </w:r>
      <w:r w:rsidRPr="00CF0ECF">
        <w:rPr>
          <w:rFonts w:ascii="Times New Roman" w:hAnsi="Times New Roman"/>
          <w:bCs/>
          <w:sz w:val="20"/>
          <w:szCs w:val="20"/>
        </w:rPr>
        <w:t xml:space="preserve"> or Na</w:t>
      </w:r>
      <w:r w:rsidRPr="00CF0ECF">
        <w:rPr>
          <w:rFonts w:ascii="Times New Roman" w:hAnsi="Times New Roman"/>
          <w:bCs/>
          <w:sz w:val="20"/>
          <w:szCs w:val="20"/>
          <w:vertAlign w:val="subscript"/>
        </w:rPr>
        <w:t>2</w:t>
      </w:r>
      <w:r w:rsidRPr="00CF0ECF">
        <w:rPr>
          <w:rFonts w:ascii="Times New Roman" w:hAnsi="Times New Roman"/>
          <w:bCs/>
          <w:sz w:val="20"/>
          <w:szCs w:val="20"/>
        </w:rPr>
        <w:t>CO</w:t>
      </w:r>
      <w:r w:rsidRPr="00CF0ECF">
        <w:rPr>
          <w:rFonts w:ascii="Times New Roman" w:hAnsi="Times New Roman"/>
          <w:bCs/>
          <w:sz w:val="20"/>
          <w:szCs w:val="20"/>
          <w:vertAlign w:val="subscript"/>
        </w:rPr>
        <w:t>3</w:t>
      </w:r>
      <w:r w:rsidRPr="00CF0ECF">
        <w:rPr>
          <w:rFonts w:ascii="Times New Roman" w:hAnsi="Times New Roman"/>
          <w:sz w:val="20"/>
          <w:szCs w:val="20"/>
        </w:rPr>
        <w:t xml:space="preserve"> on the lithium extraction efficiency of the proposed method (roasting conditions: temperature = 700℃ and time = 2 h; leaching conditions: water/roasted sample mass ratio = 10, temperature = 60℃, </w:t>
      </w:r>
      <w:r w:rsidRPr="00CF0ECF">
        <w:rPr>
          <w:rFonts w:ascii="Times New Roman" w:hAnsi="Times New Roman" w:hint="eastAsia"/>
          <w:sz w:val="20"/>
          <w:szCs w:val="20"/>
        </w:rPr>
        <w:t>and</w:t>
      </w:r>
      <w:r w:rsidRPr="00CF0ECF">
        <w:rPr>
          <w:rFonts w:ascii="Times New Roman" w:hAnsi="Times New Roman"/>
          <w:sz w:val="20"/>
          <w:szCs w:val="20"/>
        </w:rPr>
        <w:t xml:space="preserve"> time = 30 min).</w:t>
      </w:r>
    </w:p>
    <w:p w14:paraId="5B75D4CA" w14:textId="3E186B29" w:rsidR="00EB14FD" w:rsidRPr="00CF0ECF" w:rsidRDefault="00D715CF" w:rsidP="00D715CF">
      <w:pPr>
        <w:spacing w:line="480" w:lineRule="auto"/>
        <w:ind w:firstLineChars="200" w:firstLine="420"/>
        <w:rPr>
          <w:rFonts w:ascii="Times New Roman" w:hAnsi="Times New Roman"/>
          <w:sz w:val="20"/>
          <w:szCs w:val="20"/>
        </w:rPr>
      </w:pPr>
      <w:r w:rsidRPr="00CF0ECF">
        <w:rPr>
          <w:rFonts w:ascii="Times New Roman" w:hAnsi="Times New Roman" w:hint="eastAsia"/>
          <w:bCs/>
        </w:rPr>
        <w:t xml:space="preserve">The mass balance of the complete recycling process is shown in Table S1. The average standard reagent prices used in this study are presented in Table S2. The cost of slag is identical to that of cement because of its use as a building material. Roasting and leaching are the two key processes </w:t>
      </w:r>
      <w:r w:rsidRPr="00CF0ECF">
        <w:rPr>
          <w:rFonts w:ascii="Times New Roman" w:hAnsi="Times New Roman" w:hint="eastAsia"/>
          <w:bCs/>
        </w:rPr>
        <w:lastRenderedPageBreak/>
        <w:t>used to recover lithium from slag. The findings indicate that the recovery of slag is an economical endeavor, with an estimated profit margin of $429.92 per ton of slag.</w:t>
      </w:r>
    </w:p>
    <w:p w14:paraId="52712984" w14:textId="77777777" w:rsidR="00EB14FD" w:rsidRPr="00CF0ECF" w:rsidRDefault="00CF0ECF">
      <w:pPr>
        <w:spacing w:line="480" w:lineRule="auto"/>
        <w:jc w:val="right"/>
        <w:rPr>
          <w:rFonts w:ascii="Times New Roman" w:hAnsi="Times New Roman"/>
        </w:rPr>
      </w:pPr>
      <w:r w:rsidRPr="00CF0ECF">
        <w:rPr>
          <w:rFonts w:ascii="Times New Roman" w:hAnsi="Times New Roman"/>
        </w:rPr>
        <w:t xml:space="preserve">Table S1.  Mass balance of the complete recycling process        </w:t>
      </w:r>
      <w:r w:rsidRPr="00CF0ECF">
        <w:rPr>
          <w:rFonts w:ascii="Times New Roman" w:hAnsi="Times New Roman"/>
          <w:bCs/>
          <w:iCs/>
          <w:kern w:val="0"/>
          <w:sz w:val="20"/>
        </w:rPr>
        <w:t>mol</w:t>
      </w:r>
    </w:p>
    <w:tbl>
      <w:tblPr>
        <w:tblStyle w:val="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2752"/>
        <w:gridCol w:w="1926"/>
        <w:gridCol w:w="1468"/>
      </w:tblGrid>
      <w:tr w:rsidR="00CF0ECF" w:rsidRPr="00CF0ECF" w14:paraId="40E9D5F0" w14:textId="77777777" w:rsidTr="00B81D9C">
        <w:tc>
          <w:tcPr>
            <w:tcW w:w="1242" w:type="dxa"/>
            <w:tcBorders>
              <w:top w:val="single" w:sz="8" w:space="0" w:color="auto"/>
              <w:bottom w:val="single" w:sz="4" w:space="0" w:color="auto"/>
            </w:tcBorders>
            <w:vAlign w:val="center"/>
          </w:tcPr>
          <w:p w14:paraId="5A528884"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Material</w:t>
            </w:r>
          </w:p>
        </w:tc>
        <w:tc>
          <w:tcPr>
            <w:tcW w:w="1134" w:type="dxa"/>
            <w:tcBorders>
              <w:top w:val="single" w:sz="8" w:space="0" w:color="auto"/>
              <w:bottom w:val="single" w:sz="4" w:space="0" w:color="auto"/>
            </w:tcBorders>
            <w:vAlign w:val="center"/>
          </w:tcPr>
          <w:p w14:paraId="2B4C0872"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Input</w:t>
            </w:r>
          </w:p>
        </w:tc>
        <w:tc>
          <w:tcPr>
            <w:tcW w:w="2752" w:type="dxa"/>
            <w:tcBorders>
              <w:top w:val="single" w:sz="8" w:space="0" w:color="auto"/>
              <w:bottom w:val="single" w:sz="4" w:space="0" w:color="auto"/>
            </w:tcBorders>
            <w:vAlign w:val="center"/>
          </w:tcPr>
          <w:p w14:paraId="1EECC4C0"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Output (leaching solution)</w:t>
            </w:r>
          </w:p>
        </w:tc>
        <w:tc>
          <w:tcPr>
            <w:tcW w:w="1926" w:type="dxa"/>
            <w:tcBorders>
              <w:top w:val="single" w:sz="8" w:space="0" w:color="auto"/>
              <w:bottom w:val="single" w:sz="4" w:space="0" w:color="auto"/>
            </w:tcBorders>
            <w:vAlign w:val="center"/>
          </w:tcPr>
          <w:p w14:paraId="7C44AA3A"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Output (residue)</w:t>
            </w:r>
          </w:p>
        </w:tc>
        <w:tc>
          <w:tcPr>
            <w:tcW w:w="1468" w:type="dxa"/>
            <w:tcBorders>
              <w:top w:val="single" w:sz="8" w:space="0" w:color="auto"/>
              <w:bottom w:val="single" w:sz="4" w:space="0" w:color="auto"/>
            </w:tcBorders>
            <w:vAlign w:val="center"/>
          </w:tcPr>
          <w:p w14:paraId="714360EA"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Error</w:t>
            </w:r>
          </w:p>
        </w:tc>
      </w:tr>
      <w:tr w:rsidR="00CF0ECF" w:rsidRPr="00CF0ECF" w14:paraId="369A8134" w14:textId="77777777" w:rsidTr="00B81D9C">
        <w:tc>
          <w:tcPr>
            <w:tcW w:w="1242" w:type="dxa"/>
          </w:tcPr>
          <w:p w14:paraId="65C12570"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Li</w:t>
            </w:r>
            <w:r w:rsidRPr="00CF0ECF">
              <w:rPr>
                <w:rFonts w:ascii="Times New Roman" w:hAnsi="Times New Roman"/>
                <w:bCs/>
                <w:iCs/>
                <w:kern w:val="0"/>
                <w:sz w:val="20"/>
                <w:vertAlign w:val="superscript"/>
              </w:rPr>
              <w:t>+</w:t>
            </w:r>
            <w:r w:rsidRPr="00CF0ECF">
              <w:rPr>
                <w:rFonts w:ascii="Times New Roman" w:hAnsi="Times New Roman"/>
                <w:bCs/>
                <w:iCs/>
                <w:kern w:val="0"/>
                <w:sz w:val="20"/>
              </w:rPr>
              <w:t xml:space="preserve"> </w:t>
            </w:r>
          </w:p>
        </w:tc>
        <w:tc>
          <w:tcPr>
            <w:tcW w:w="1134" w:type="dxa"/>
          </w:tcPr>
          <w:p w14:paraId="3DC61DF1"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1</w:t>
            </w:r>
          </w:p>
        </w:tc>
        <w:tc>
          <w:tcPr>
            <w:tcW w:w="2752" w:type="dxa"/>
          </w:tcPr>
          <w:p w14:paraId="747781BC"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0.94</w:t>
            </w:r>
          </w:p>
        </w:tc>
        <w:tc>
          <w:tcPr>
            <w:tcW w:w="1926" w:type="dxa"/>
          </w:tcPr>
          <w:p w14:paraId="27B90BAD"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0.04</w:t>
            </w:r>
          </w:p>
        </w:tc>
        <w:tc>
          <w:tcPr>
            <w:tcW w:w="1468" w:type="dxa"/>
          </w:tcPr>
          <w:p w14:paraId="0101A16D"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0.02</w:t>
            </w:r>
          </w:p>
        </w:tc>
      </w:tr>
      <w:tr w:rsidR="00CF0ECF" w:rsidRPr="00CF0ECF" w14:paraId="0F947D85" w14:textId="77777777" w:rsidTr="00B81D9C">
        <w:tc>
          <w:tcPr>
            <w:tcW w:w="1242" w:type="dxa"/>
          </w:tcPr>
          <w:p w14:paraId="605B80FB"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Al</w:t>
            </w:r>
            <w:r w:rsidRPr="00CF0ECF">
              <w:rPr>
                <w:rFonts w:ascii="Times New Roman" w:hAnsi="Times New Roman"/>
                <w:bCs/>
                <w:iCs/>
                <w:kern w:val="0"/>
                <w:sz w:val="20"/>
                <w:vertAlign w:val="superscript"/>
              </w:rPr>
              <w:t>3+</w:t>
            </w:r>
          </w:p>
        </w:tc>
        <w:tc>
          <w:tcPr>
            <w:tcW w:w="1134" w:type="dxa"/>
          </w:tcPr>
          <w:p w14:paraId="3170015D"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1</w:t>
            </w:r>
          </w:p>
        </w:tc>
        <w:tc>
          <w:tcPr>
            <w:tcW w:w="2752" w:type="dxa"/>
          </w:tcPr>
          <w:p w14:paraId="30F12101"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w:t>
            </w:r>
          </w:p>
        </w:tc>
        <w:tc>
          <w:tcPr>
            <w:tcW w:w="1926" w:type="dxa"/>
          </w:tcPr>
          <w:p w14:paraId="2D8C037F"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0.97</w:t>
            </w:r>
          </w:p>
        </w:tc>
        <w:tc>
          <w:tcPr>
            <w:tcW w:w="1468" w:type="dxa"/>
          </w:tcPr>
          <w:p w14:paraId="6F6EFAB2"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0.03</w:t>
            </w:r>
          </w:p>
        </w:tc>
      </w:tr>
      <w:tr w:rsidR="00CF0ECF" w:rsidRPr="00CF0ECF" w14:paraId="38F4F5F1" w14:textId="77777777" w:rsidTr="00B81D9C">
        <w:tc>
          <w:tcPr>
            <w:tcW w:w="1242" w:type="dxa"/>
          </w:tcPr>
          <w:p w14:paraId="4EA01EB9"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Ca</w:t>
            </w:r>
            <w:r w:rsidRPr="00CF0ECF">
              <w:rPr>
                <w:rFonts w:ascii="Times New Roman" w:hAnsi="Times New Roman"/>
                <w:bCs/>
                <w:iCs/>
                <w:kern w:val="0"/>
                <w:sz w:val="20"/>
                <w:vertAlign w:val="superscript"/>
              </w:rPr>
              <w:t>2+</w:t>
            </w:r>
          </w:p>
        </w:tc>
        <w:tc>
          <w:tcPr>
            <w:tcW w:w="1134" w:type="dxa"/>
          </w:tcPr>
          <w:p w14:paraId="6FC77D04"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3.12</w:t>
            </w:r>
          </w:p>
        </w:tc>
        <w:tc>
          <w:tcPr>
            <w:tcW w:w="2752" w:type="dxa"/>
          </w:tcPr>
          <w:p w14:paraId="5313EC2D"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w:t>
            </w:r>
          </w:p>
        </w:tc>
        <w:tc>
          <w:tcPr>
            <w:tcW w:w="1926" w:type="dxa"/>
          </w:tcPr>
          <w:p w14:paraId="3E585F94"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3.10</w:t>
            </w:r>
          </w:p>
        </w:tc>
        <w:tc>
          <w:tcPr>
            <w:tcW w:w="1468" w:type="dxa"/>
          </w:tcPr>
          <w:p w14:paraId="5F577373"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0.02</w:t>
            </w:r>
          </w:p>
        </w:tc>
      </w:tr>
      <w:tr w:rsidR="00CF0ECF" w:rsidRPr="00CF0ECF" w14:paraId="3678A7E2" w14:textId="77777777" w:rsidTr="00B81D9C">
        <w:tc>
          <w:tcPr>
            <w:tcW w:w="1242" w:type="dxa"/>
          </w:tcPr>
          <w:p w14:paraId="288BFF5C"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SiO</w:t>
            </w:r>
            <w:r w:rsidRPr="00CF0ECF">
              <w:rPr>
                <w:rFonts w:ascii="Times New Roman" w:hAnsi="Times New Roman"/>
                <w:bCs/>
                <w:iCs/>
                <w:kern w:val="0"/>
                <w:sz w:val="20"/>
                <w:vertAlign w:val="subscript"/>
              </w:rPr>
              <w:t>3</w:t>
            </w:r>
            <w:r w:rsidRPr="00CF0ECF">
              <w:rPr>
                <w:rFonts w:ascii="Times New Roman" w:eastAsia="微软雅黑" w:hAnsi="Times New Roman"/>
                <w:bCs/>
                <w:iCs/>
                <w:kern w:val="0"/>
                <w:sz w:val="20"/>
                <w:vertAlign w:val="superscript"/>
              </w:rPr>
              <w:t>−</w:t>
            </w:r>
          </w:p>
        </w:tc>
        <w:tc>
          <w:tcPr>
            <w:tcW w:w="1134" w:type="dxa"/>
          </w:tcPr>
          <w:p w14:paraId="1DD039FA"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5.12</w:t>
            </w:r>
          </w:p>
        </w:tc>
        <w:tc>
          <w:tcPr>
            <w:tcW w:w="2752" w:type="dxa"/>
          </w:tcPr>
          <w:p w14:paraId="584CDF38"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w:t>
            </w:r>
          </w:p>
        </w:tc>
        <w:tc>
          <w:tcPr>
            <w:tcW w:w="1926" w:type="dxa"/>
          </w:tcPr>
          <w:p w14:paraId="181C586A"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5.11</w:t>
            </w:r>
          </w:p>
        </w:tc>
        <w:tc>
          <w:tcPr>
            <w:tcW w:w="1468" w:type="dxa"/>
          </w:tcPr>
          <w:p w14:paraId="127891A8"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0.01</w:t>
            </w:r>
          </w:p>
        </w:tc>
      </w:tr>
      <w:tr w:rsidR="00CF0ECF" w:rsidRPr="00CF0ECF" w14:paraId="49A4B04F" w14:textId="77777777" w:rsidTr="00B81D9C">
        <w:tc>
          <w:tcPr>
            <w:tcW w:w="1242" w:type="dxa"/>
          </w:tcPr>
          <w:p w14:paraId="4DCD5860"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K</w:t>
            </w:r>
            <w:r w:rsidRPr="00CF0ECF">
              <w:rPr>
                <w:rFonts w:ascii="Times New Roman" w:hAnsi="Times New Roman"/>
                <w:bCs/>
                <w:iCs/>
                <w:kern w:val="0"/>
                <w:sz w:val="20"/>
                <w:vertAlign w:val="superscript"/>
              </w:rPr>
              <w:t>+</w:t>
            </w:r>
          </w:p>
        </w:tc>
        <w:tc>
          <w:tcPr>
            <w:tcW w:w="1134" w:type="dxa"/>
          </w:tcPr>
          <w:p w14:paraId="59C43B75"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5.66</w:t>
            </w:r>
          </w:p>
        </w:tc>
        <w:tc>
          <w:tcPr>
            <w:tcW w:w="2752" w:type="dxa"/>
          </w:tcPr>
          <w:p w14:paraId="5829D683"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3.82</w:t>
            </w:r>
          </w:p>
        </w:tc>
        <w:tc>
          <w:tcPr>
            <w:tcW w:w="1926" w:type="dxa"/>
          </w:tcPr>
          <w:p w14:paraId="581745B7"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1.83</w:t>
            </w:r>
          </w:p>
        </w:tc>
        <w:tc>
          <w:tcPr>
            <w:tcW w:w="1468" w:type="dxa"/>
          </w:tcPr>
          <w:p w14:paraId="0FDA6D6D"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0.01</w:t>
            </w:r>
          </w:p>
        </w:tc>
      </w:tr>
      <w:tr w:rsidR="00CF0ECF" w:rsidRPr="00CF0ECF" w14:paraId="51DBE972" w14:textId="77777777" w:rsidTr="00B81D9C">
        <w:tc>
          <w:tcPr>
            <w:tcW w:w="1242" w:type="dxa"/>
          </w:tcPr>
          <w:p w14:paraId="4E0CAC00"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Na</w:t>
            </w:r>
            <w:r w:rsidRPr="00CF0ECF">
              <w:rPr>
                <w:rFonts w:ascii="Times New Roman" w:hAnsi="Times New Roman"/>
                <w:bCs/>
                <w:iCs/>
                <w:kern w:val="0"/>
                <w:sz w:val="20"/>
                <w:vertAlign w:val="superscript"/>
              </w:rPr>
              <w:t>+</w:t>
            </w:r>
          </w:p>
        </w:tc>
        <w:tc>
          <w:tcPr>
            <w:tcW w:w="1134" w:type="dxa"/>
          </w:tcPr>
          <w:p w14:paraId="572F6C04"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13.21</w:t>
            </w:r>
          </w:p>
        </w:tc>
        <w:tc>
          <w:tcPr>
            <w:tcW w:w="2752" w:type="dxa"/>
          </w:tcPr>
          <w:p w14:paraId="514FC47F"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11.42</w:t>
            </w:r>
          </w:p>
        </w:tc>
        <w:tc>
          <w:tcPr>
            <w:tcW w:w="1926" w:type="dxa"/>
          </w:tcPr>
          <w:p w14:paraId="7C321D51"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1.77</w:t>
            </w:r>
          </w:p>
        </w:tc>
        <w:tc>
          <w:tcPr>
            <w:tcW w:w="1468" w:type="dxa"/>
          </w:tcPr>
          <w:p w14:paraId="299B9CD2"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0.02</w:t>
            </w:r>
          </w:p>
        </w:tc>
      </w:tr>
      <w:tr w:rsidR="00CF0ECF" w:rsidRPr="00CF0ECF" w14:paraId="0CDBCF0B" w14:textId="77777777" w:rsidTr="00B81D9C">
        <w:tc>
          <w:tcPr>
            <w:tcW w:w="1242" w:type="dxa"/>
            <w:tcBorders>
              <w:bottom w:val="single" w:sz="8" w:space="0" w:color="auto"/>
            </w:tcBorders>
          </w:tcPr>
          <w:p w14:paraId="7C97AD5A"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CO</w:t>
            </w:r>
            <w:r w:rsidRPr="00CF0ECF">
              <w:rPr>
                <w:rFonts w:ascii="Times New Roman" w:hAnsi="Times New Roman"/>
                <w:bCs/>
                <w:iCs/>
                <w:kern w:val="0"/>
                <w:sz w:val="20"/>
                <w:vertAlign w:val="subscript"/>
              </w:rPr>
              <w:t>3</w:t>
            </w:r>
            <w:r w:rsidRPr="00CF0ECF">
              <w:rPr>
                <w:rFonts w:ascii="Times New Roman" w:hAnsi="Times New Roman"/>
                <w:bCs/>
                <w:iCs/>
                <w:kern w:val="0"/>
                <w:sz w:val="20"/>
                <w:vertAlign w:val="superscript"/>
              </w:rPr>
              <w:t>2</w:t>
            </w:r>
            <w:r w:rsidRPr="00CF0ECF">
              <w:rPr>
                <w:rFonts w:ascii="Times New Roman" w:eastAsia="微软雅黑" w:hAnsi="Times New Roman"/>
                <w:bCs/>
                <w:iCs/>
                <w:kern w:val="0"/>
                <w:sz w:val="20"/>
                <w:vertAlign w:val="superscript"/>
              </w:rPr>
              <w:t>−</w:t>
            </w:r>
          </w:p>
        </w:tc>
        <w:tc>
          <w:tcPr>
            <w:tcW w:w="1134" w:type="dxa"/>
            <w:tcBorders>
              <w:bottom w:val="single" w:sz="8" w:space="0" w:color="auto"/>
            </w:tcBorders>
          </w:tcPr>
          <w:p w14:paraId="61E247F6"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9.43</w:t>
            </w:r>
          </w:p>
        </w:tc>
        <w:tc>
          <w:tcPr>
            <w:tcW w:w="2752" w:type="dxa"/>
            <w:tcBorders>
              <w:bottom w:val="single" w:sz="8" w:space="0" w:color="auto"/>
            </w:tcBorders>
          </w:tcPr>
          <w:p w14:paraId="40EF825B"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7.08</w:t>
            </w:r>
          </w:p>
        </w:tc>
        <w:tc>
          <w:tcPr>
            <w:tcW w:w="1926" w:type="dxa"/>
            <w:tcBorders>
              <w:bottom w:val="single" w:sz="8" w:space="0" w:color="auto"/>
            </w:tcBorders>
          </w:tcPr>
          <w:p w14:paraId="3F68BCAB"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2.34</w:t>
            </w:r>
          </w:p>
        </w:tc>
        <w:tc>
          <w:tcPr>
            <w:tcW w:w="1468" w:type="dxa"/>
            <w:tcBorders>
              <w:bottom w:val="single" w:sz="8" w:space="0" w:color="auto"/>
            </w:tcBorders>
          </w:tcPr>
          <w:p w14:paraId="301ABD45" w14:textId="77777777" w:rsidR="00EB14FD" w:rsidRPr="00CF0ECF" w:rsidRDefault="00CF0ECF" w:rsidP="00B81D9C">
            <w:pPr>
              <w:adjustRightInd w:val="0"/>
              <w:spacing w:line="300" w:lineRule="auto"/>
              <w:jc w:val="center"/>
              <w:textAlignment w:val="baseline"/>
              <w:rPr>
                <w:rFonts w:ascii="Times New Roman" w:hAnsi="Times New Roman"/>
                <w:bCs/>
                <w:iCs/>
                <w:kern w:val="0"/>
                <w:sz w:val="20"/>
              </w:rPr>
            </w:pPr>
            <w:r w:rsidRPr="00CF0ECF">
              <w:rPr>
                <w:rFonts w:ascii="Times New Roman" w:hAnsi="Times New Roman"/>
                <w:bCs/>
                <w:iCs/>
                <w:kern w:val="0"/>
                <w:sz w:val="20"/>
              </w:rPr>
              <w:t>0.01</w:t>
            </w:r>
          </w:p>
        </w:tc>
      </w:tr>
    </w:tbl>
    <w:p w14:paraId="60168528" w14:textId="77777777" w:rsidR="00D715CF" w:rsidRPr="00CF0ECF" w:rsidRDefault="00D715CF">
      <w:pPr>
        <w:spacing w:line="480" w:lineRule="auto"/>
        <w:jc w:val="center"/>
        <w:rPr>
          <w:rFonts w:ascii="Times New Roman" w:hAnsi="Times New Roman"/>
        </w:rPr>
      </w:pPr>
    </w:p>
    <w:p w14:paraId="6488F1E2" w14:textId="49D3DEC8" w:rsidR="00EB14FD" w:rsidRPr="00CF0ECF" w:rsidRDefault="00CF0ECF">
      <w:pPr>
        <w:spacing w:line="480" w:lineRule="auto"/>
        <w:jc w:val="center"/>
        <w:rPr>
          <w:rFonts w:ascii="Times New Roman" w:hAnsi="Times New Roman"/>
        </w:rPr>
      </w:pPr>
      <w:r w:rsidRPr="00CF0ECF">
        <w:rPr>
          <w:rFonts w:ascii="Times New Roman" w:hAnsi="Times New Roman"/>
        </w:rPr>
        <w:t>Table S2.  Analysis of the economics of lithium recycling in this study</w:t>
      </w:r>
    </w:p>
    <w:tbl>
      <w:tblPr>
        <w:tblStyle w:val="ab"/>
        <w:tblW w:w="84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1"/>
        <w:gridCol w:w="1975"/>
        <w:gridCol w:w="1187"/>
        <w:gridCol w:w="1174"/>
        <w:gridCol w:w="1526"/>
        <w:gridCol w:w="1122"/>
      </w:tblGrid>
      <w:tr w:rsidR="00CF0ECF" w:rsidRPr="00CF0ECF" w14:paraId="17CD0721" w14:textId="77777777" w:rsidTr="00D715CF">
        <w:trPr>
          <w:trHeight w:val="454"/>
        </w:trPr>
        <w:tc>
          <w:tcPr>
            <w:tcW w:w="1501" w:type="dxa"/>
            <w:vMerge w:val="restart"/>
            <w:vAlign w:val="center"/>
          </w:tcPr>
          <w:p w14:paraId="74B44FBA"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Process</w:t>
            </w:r>
          </w:p>
        </w:tc>
        <w:tc>
          <w:tcPr>
            <w:tcW w:w="3162" w:type="dxa"/>
            <w:gridSpan w:val="2"/>
            <w:tcBorders>
              <w:bottom w:val="single" w:sz="4" w:space="0" w:color="auto"/>
            </w:tcBorders>
            <w:vAlign w:val="center"/>
          </w:tcPr>
          <w:p w14:paraId="4463909A"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Reagents</w:t>
            </w:r>
          </w:p>
        </w:tc>
        <w:tc>
          <w:tcPr>
            <w:tcW w:w="1174" w:type="dxa"/>
            <w:vMerge w:val="restart"/>
            <w:vAlign w:val="center"/>
          </w:tcPr>
          <w:p w14:paraId="3AAF2B81"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bCs/>
                <w:kern w:val="0"/>
                <w:sz w:val="20"/>
                <w:szCs w:val="20"/>
              </w:rPr>
              <w:t xml:space="preserve">Unit price </w:t>
            </w:r>
            <w:r w:rsidRPr="00CF0ECF">
              <w:rPr>
                <w:rFonts w:ascii="Times New Roman" w:hAnsi="Times New Roman"/>
                <w:bCs/>
                <w:kern w:val="0"/>
                <w:sz w:val="20"/>
                <w:szCs w:val="20"/>
              </w:rPr>
              <w:t>/ ($</w:t>
            </w:r>
            <w:r w:rsidRPr="00CF0ECF">
              <w:rPr>
                <w:rFonts w:ascii="Times New Roman" w:hAnsi="Times New Roman"/>
                <w:bCs/>
                <w:kern w:val="0"/>
                <w:sz w:val="20"/>
                <w:szCs w:val="20"/>
              </w:rPr>
              <w:sym w:font="Symbol" w:char="F0D7"/>
            </w:r>
            <w:r w:rsidRPr="00CF0ECF">
              <w:rPr>
                <w:rFonts w:ascii="Times New Roman" w:hAnsi="Times New Roman"/>
                <w:bCs/>
                <w:kern w:val="0"/>
                <w:sz w:val="20"/>
                <w:szCs w:val="20"/>
              </w:rPr>
              <w:t>t</w:t>
            </w:r>
            <w:r w:rsidRPr="00CF0ECF">
              <w:rPr>
                <w:rFonts w:ascii="Times New Roman" w:hAnsi="Times New Roman"/>
                <w:bCs/>
                <w:kern w:val="0"/>
                <w:sz w:val="20"/>
                <w:szCs w:val="20"/>
                <w:vertAlign w:val="superscript"/>
              </w:rPr>
              <w:sym w:font="Symbol" w:char="F02D"/>
            </w:r>
            <w:r w:rsidRPr="00CF0ECF">
              <w:rPr>
                <w:rFonts w:ascii="Times New Roman" w:hAnsi="Times New Roman"/>
                <w:bCs/>
                <w:kern w:val="0"/>
                <w:sz w:val="20"/>
                <w:szCs w:val="20"/>
                <w:vertAlign w:val="superscript"/>
              </w:rPr>
              <w:t>1</w:t>
            </w:r>
            <w:r w:rsidRPr="00CF0ECF">
              <w:rPr>
                <w:rFonts w:ascii="Times New Roman" w:hAnsi="Times New Roman"/>
                <w:bCs/>
                <w:kern w:val="0"/>
                <w:sz w:val="20"/>
                <w:szCs w:val="20"/>
              </w:rPr>
              <w:t>)</w:t>
            </w:r>
          </w:p>
        </w:tc>
        <w:tc>
          <w:tcPr>
            <w:tcW w:w="1526" w:type="dxa"/>
            <w:vMerge w:val="restart"/>
            <w:vAlign w:val="center"/>
          </w:tcPr>
          <w:p w14:paraId="6D24B93F"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bCs/>
                <w:kern w:val="0"/>
                <w:sz w:val="20"/>
                <w:szCs w:val="20"/>
              </w:rPr>
              <w:t>Cost</w:t>
            </w:r>
            <w:r w:rsidRPr="00CF0ECF">
              <w:rPr>
                <w:rFonts w:ascii="Times New Roman" w:hAnsi="Times New Roman" w:hint="eastAsia"/>
                <w:bCs/>
                <w:kern w:val="0"/>
                <w:sz w:val="20"/>
                <w:szCs w:val="20"/>
              </w:rPr>
              <w:t xml:space="preserve"> </w:t>
            </w:r>
            <w:r w:rsidRPr="00CF0ECF">
              <w:rPr>
                <w:rFonts w:ascii="Times New Roman" w:hAnsi="Times New Roman"/>
                <w:bCs/>
                <w:kern w:val="0"/>
                <w:sz w:val="20"/>
                <w:szCs w:val="20"/>
              </w:rPr>
              <w:t>of reagent consumed in the process /</w:t>
            </w:r>
            <w:r w:rsidRPr="00CF0ECF">
              <w:rPr>
                <w:rFonts w:ascii="Times New Roman" w:hAnsi="Times New Roman"/>
                <w:kern w:val="0"/>
                <w:sz w:val="20"/>
                <w:szCs w:val="20"/>
              </w:rPr>
              <w:t xml:space="preserve"> $</w:t>
            </w:r>
          </w:p>
        </w:tc>
        <w:tc>
          <w:tcPr>
            <w:tcW w:w="1122" w:type="dxa"/>
            <w:vMerge w:val="restart"/>
            <w:vAlign w:val="center"/>
          </w:tcPr>
          <w:p w14:paraId="34E3875F"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bCs/>
                <w:kern w:val="0"/>
                <w:sz w:val="20"/>
                <w:szCs w:val="20"/>
              </w:rPr>
              <w:t>Price of recovered product / $</w:t>
            </w:r>
          </w:p>
        </w:tc>
      </w:tr>
      <w:tr w:rsidR="00CF0ECF" w:rsidRPr="00CF0ECF" w14:paraId="12A044B5" w14:textId="77777777">
        <w:trPr>
          <w:trHeight w:val="952"/>
        </w:trPr>
        <w:tc>
          <w:tcPr>
            <w:tcW w:w="1501" w:type="dxa"/>
            <w:vMerge/>
            <w:tcBorders>
              <w:bottom w:val="single" w:sz="4" w:space="0" w:color="auto"/>
            </w:tcBorders>
            <w:vAlign w:val="center"/>
          </w:tcPr>
          <w:p w14:paraId="2F9738A2" w14:textId="77777777" w:rsidR="00EB14FD" w:rsidRPr="00CF0ECF" w:rsidRDefault="00EB14FD" w:rsidP="00B81D9C">
            <w:pPr>
              <w:spacing w:line="300" w:lineRule="auto"/>
              <w:jc w:val="center"/>
            </w:pPr>
          </w:p>
        </w:tc>
        <w:tc>
          <w:tcPr>
            <w:tcW w:w="1975" w:type="dxa"/>
            <w:tcBorders>
              <w:bottom w:val="single" w:sz="4" w:space="0" w:color="auto"/>
            </w:tcBorders>
            <w:vAlign w:val="center"/>
          </w:tcPr>
          <w:p w14:paraId="576468CE"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Consumption</w:t>
            </w:r>
          </w:p>
        </w:tc>
        <w:tc>
          <w:tcPr>
            <w:tcW w:w="1187" w:type="dxa"/>
            <w:tcBorders>
              <w:bottom w:val="single" w:sz="4" w:space="0" w:color="auto"/>
            </w:tcBorders>
            <w:vAlign w:val="center"/>
          </w:tcPr>
          <w:p w14:paraId="42158B64"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Recovery</w:t>
            </w:r>
          </w:p>
        </w:tc>
        <w:tc>
          <w:tcPr>
            <w:tcW w:w="1174" w:type="dxa"/>
            <w:vMerge/>
            <w:tcBorders>
              <w:bottom w:val="single" w:sz="4" w:space="0" w:color="auto"/>
            </w:tcBorders>
            <w:vAlign w:val="center"/>
          </w:tcPr>
          <w:p w14:paraId="4F914C06" w14:textId="77777777" w:rsidR="00EB14FD" w:rsidRPr="00CF0ECF" w:rsidRDefault="00EB14FD" w:rsidP="00B81D9C">
            <w:pPr>
              <w:spacing w:line="300" w:lineRule="auto"/>
              <w:jc w:val="center"/>
              <w:rPr>
                <w:rFonts w:ascii="Times New Roman" w:hAnsi="Times New Roman"/>
              </w:rPr>
            </w:pPr>
          </w:p>
        </w:tc>
        <w:tc>
          <w:tcPr>
            <w:tcW w:w="1526" w:type="dxa"/>
            <w:vMerge/>
            <w:tcBorders>
              <w:bottom w:val="single" w:sz="4" w:space="0" w:color="auto"/>
            </w:tcBorders>
            <w:vAlign w:val="center"/>
          </w:tcPr>
          <w:p w14:paraId="141E7413" w14:textId="77777777" w:rsidR="00EB14FD" w:rsidRPr="00CF0ECF" w:rsidRDefault="00EB14FD" w:rsidP="00B81D9C">
            <w:pPr>
              <w:spacing w:line="300" w:lineRule="auto"/>
              <w:jc w:val="center"/>
              <w:rPr>
                <w:rFonts w:ascii="Times New Roman" w:hAnsi="Times New Roman"/>
              </w:rPr>
            </w:pPr>
          </w:p>
        </w:tc>
        <w:tc>
          <w:tcPr>
            <w:tcW w:w="1122" w:type="dxa"/>
            <w:vMerge/>
            <w:tcBorders>
              <w:bottom w:val="single" w:sz="4" w:space="0" w:color="auto"/>
            </w:tcBorders>
            <w:vAlign w:val="center"/>
          </w:tcPr>
          <w:p w14:paraId="6F57B3F9" w14:textId="77777777" w:rsidR="00EB14FD" w:rsidRPr="00CF0ECF" w:rsidRDefault="00EB14FD" w:rsidP="00B81D9C">
            <w:pPr>
              <w:spacing w:line="300" w:lineRule="auto"/>
              <w:jc w:val="center"/>
              <w:rPr>
                <w:rFonts w:ascii="Times New Roman" w:hAnsi="Times New Roman"/>
              </w:rPr>
            </w:pPr>
          </w:p>
        </w:tc>
      </w:tr>
      <w:tr w:rsidR="00CF0ECF" w:rsidRPr="00CF0ECF" w14:paraId="0952FFE8" w14:textId="77777777">
        <w:tc>
          <w:tcPr>
            <w:tcW w:w="1501" w:type="dxa"/>
            <w:vMerge w:val="restart"/>
            <w:tcBorders>
              <w:top w:val="single" w:sz="4" w:space="0" w:color="auto"/>
              <w:bottom w:val="single" w:sz="4" w:space="0" w:color="auto"/>
            </w:tcBorders>
            <w:vAlign w:val="center"/>
          </w:tcPr>
          <w:p w14:paraId="297880F0"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Roasting</w:t>
            </w:r>
          </w:p>
        </w:tc>
        <w:tc>
          <w:tcPr>
            <w:tcW w:w="1975" w:type="dxa"/>
            <w:tcBorders>
              <w:top w:val="single" w:sz="4" w:space="0" w:color="auto"/>
              <w:bottom w:val="nil"/>
              <w:tl2br w:val="nil"/>
              <w:tr2bl w:val="nil"/>
            </w:tcBorders>
            <w:vAlign w:val="center"/>
          </w:tcPr>
          <w:p w14:paraId="0EF73EF9"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Slag</w:t>
            </w:r>
          </w:p>
        </w:tc>
        <w:tc>
          <w:tcPr>
            <w:tcW w:w="1187" w:type="dxa"/>
            <w:tcBorders>
              <w:top w:val="single" w:sz="4" w:space="0" w:color="auto"/>
              <w:bottom w:val="nil"/>
              <w:tl2br w:val="nil"/>
              <w:tr2bl w:val="nil"/>
            </w:tcBorders>
            <w:vAlign w:val="center"/>
          </w:tcPr>
          <w:p w14:paraId="3E378A62" w14:textId="77777777" w:rsidR="00EB14FD" w:rsidRPr="00CF0ECF" w:rsidRDefault="00EB14FD" w:rsidP="00B81D9C">
            <w:pPr>
              <w:spacing w:line="300" w:lineRule="auto"/>
              <w:jc w:val="center"/>
              <w:rPr>
                <w:rFonts w:ascii="Times New Roman" w:hAnsi="Times New Roman"/>
              </w:rPr>
            </w:pPr>
          </w:p>
        </w:tc>
        <w:tc>
          <w:tcPr>
            <w:tcW w:w="1174" w:type="dxa"/>
            <w:tcBorders>
              <w:top w:val="single" w:sz="4" w:space="0" w:color="auto"/>
              <w:bottom w:val="nil"/>
              <w:tl2br w:val="nil"/>
              <w:tr2bl w:val="nil"/>
            </w:tcBorders>
            <w:vAlign w:val="center"/>
          </w:tcPr>
          <w:p w14:paraId="73C4A6B8" w14:textId="77777777" w:rsidR="00EB14FD" w:rsidRPr="00CF0ECF" w:rsidRDefault="00CF0ECF" w:rsidP="00B81D9C">
            <w:pPr>
              <w:adjustRightInd w:val="0"/>
              <w:spacing w:line="300" w:lineRule="auto"/>
              <w:jc w:val="center"/>
              <w:textAlignment w:val="baseline"/>
              <w:rPr>
                <w:rFonts w:ascii="Times New Roman" w:hAnsi="Times New Roman"/>
                <w:bCs/>
                <w:kern w:val="0"/>
                <w:sz w:val="20"/>
                <w:szCs w:val="20"/>
              </w:rPr>
            </w:pPr>
            <w:r w:rsidRPr="00CF0ECF">
              <w:rPr>
                <w:rFonts w:ascii="Times New Roman" w:hAnsi="Times New Roman"/>
                <w:bCs/>
                <w:kern w:val="0"/>
                <w:sz w:val="20"/>
                <w:szCs w:val="20"/>
              </w:rPr>
              <w:t>188.99</w:t>
            </w:r>
          </w:p>
        </w:tc>
        <w:tc>
          <w:tcPr>
            <w:tcW w:w="1526" w:type="dxa"/>
            <w:tcBorders>
              <w:top w:val="single" w:sz="4" w:space="0" w:color="auto"/>
              <w:bottom w:val="nil"/>
              <w:tl2br w:val="nil"/>
              <w:tr2bl w:val="nil"/>
            </w:tcBorders>
            <w:vAlign w:val="center"/>
          </w:tcPr>
          <w:p w14:paraId="5A3CC7DE" w14:textId="77777777" w:rsidR="00EB14FD" w:rsidRPr="00CF0ECF" w:rsidRDefault="00CF0ECF" w:rsidP="00B81D9C">
            <w:pPr>
              <w:adjustRightInd w:val="0"/>
              <w:spacing w:line="300" w:lineRule="auto"/>
              <w:jc w:val="center"/>
              <w:textAlignment w:val="baseline"/>
              <w:rPr>
                <w:rFonts w:ascii="Times New Roman" w:hAnsi="Times New Roman"/>
                <w:bCs/>
                <w:kern w:val="0"/>
                <w:sz w:val="20"/>
                <w:szCs w:val="20"/>
              </w:rPr>
            </w:pPr>
            <w:r w:rsidRPr="00CF0ECF">
              <w:rPr>
                <w:rFonts w:ascii="Times New Roman" w:hAnsi="Times New Roman"/>
                <w:bCs/>
                <w:kern w:val="0"/>
                <w:sz w:val="20"/>
                <w:szCs w:val="20"/>
              </w:rPr>
              <w:t>188.99</w:t>
            </w:r>
          </w:p>
        </w:tc>
        <w:tc>
          <w:tcPr>
            <w:tcW w:w="1122" w:type="dxa"/>
            <w:tcBorders>
              <w:top w:val="single" w:sz="4" w:space="0" w:color="auto"/>
              <w:bottom w:val="nil"/>
              <w:tl2br w:val="nil"/>
              <w:tr2bl w:val="nil"/>
            </w:tcBorders>
            <w:vAlign w:val="center"/>
          </w:tcPr>
          <w:p w14:paraId="68CC868F" w14:textId="77777777" w:rsidR="00EB14FD" w:rsidRPr="00CF0ECF" w:rsidRDefault="00EB14FD" w:rsidP="00B81D9C">
            <w:pPr>
              <w:spacing w:line="300" w:lineRule="auto"/>
              <w:jc w:val="center"/>
              <w:rPr>
                <w:rFonts w:ascii="Times New Roman" w:hAnsi="Times New Roman"/>
              </w:rPr>
            </w:pPr>
          </w:p>
        </w:tc>
      </w:tr>
      <w:tr w:rsidR="00CF0ECF" w:rsidRPr="00CF0ECF" w14:paraId="0BDBDD99" w14:textId="77777777">
        <w:tc>
          <w:tcPr>
            <w:tcW w:w="1501" w:type="dxa"/>
            <w:vMerge/>
            <w:tcBorders>
              <w:top w:val="single" w:sz="4" w:space="0" w:color="auto"/>
              <w:bottom w:val="single" w:sz="4" w:space="0" w:color="auto"/>
              <w:tl2br w:val="nil"/>
              <w:tr2bl w:val="nil"/>
            </w:tcBorders>
            <w:vAlign w:val="center"/>
          </w:tcPr>
          <w:p w14:paraId="50302698" w14:textId="77777777" w:rsidR="00EB14FD" w:rsidRPr="00CF0ECF" w:rsidRDefault="00EB14FD" w:rsidP="00B81D9C">
            <w:pPr>
              <w:spacing w:line="300" w:lineRule="auto"/>
              <w:jc w:val="center"/>
              <w:rPr>
                <w:rFonts w:ascii="Times New Roman" w:hAnsi="Times New Roman"/>
              </w:rPr>
            </w:pPr>
          </w:p>
        </w:tc>
        <w:tc>
          <w:tcPr>
            <w:tcW w:w="1975" w:type="dxa"/>
            <w:tcBorders>
              <w:top w:val="nil"/>
            </w:tcBorders>
            <w:vAlign w:val="center"/>
          </w:tcPr>
          <w:p w14:paraId="624581B7"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K</w:t>
            </w:r>
            <w:r w:rsidRPr="00CF0ECF">
              <w:rPr>
                <w:rFonts w:ascii="Times New Roman" w:hAnsi="Times New Roman" w:hint="eastAsia"/>
                <w:vertAlign w:val="subscript"/>
              </w:rPr>
              <w:t>2</w:t>
            </w:r>
            <w:r w:rsidRPr="00CF0ECF">
              <w:rPr>
                <w:rFonts w:ascii="Times New Roman" w:hAnsi="Times New Roman" w:hint="eastAsia"/>
              </w:rPr>
              <w:t>CO</w:t>
            </w:r>
            <w:r w:rsidRPr="00CF0ECF">
              <w:rPr>
                <w:rFonts w:ascii="Times New Roman" w:hAnsi="Times New Roman" w:hint="eastAsia"/>
                <w:vertAlign w:val="subscript"/>
              </w:rPr>
              <w:t>3</w:t>
            </w:r>
          </w:p>
        </w:tc>
        <w:tc>
          <w:tcPr>
            <w:tcW w:w="1187" w:type="dxa"/>
            <w:tcBorders>
              <w:top w:val="nil"/>
            </w:tcBorders>
            <w:vAlign w:val="center"/>
          </w:tcPr>
          <w:p w14:paraId="1F8E23EC" w14:textId="77777777" w:rsidR="00EB14FD" w:rsidRPr="00CF0ECF" w:rsidRDefault="00EB14FD" w:rsidP="00B81D9C">
            <w:pPr>
              <w:spacing w:line="300" w:lineRule="auto"/>
              <w:jc w:val="center"/>
              <w:rPr>
                <w:rFonts w:ascii="Times New Roman" w:hAnsi="Times New Roman"/>
              </w:rPr>
            </w:pPr>
          </w:p>
        </w:tc>
        <w:tc>
          <w:tcPr>
            <w:tcW w:w="1174" w:type="dxa"/>
            <w:tcBorders>
              <w:top w:val="nil"/>
            </w:tcBorders>
            <w:vAlign w:val="center"/>
          </w:tcPr>
          <w:p w14:paraId="2B04D16E" w14:textId="77777777" w:rsidR="00EB14FD" w:rsidRPr="00CF0ECF" w:rsidRDefault="00CF0ECF" w:rsidP="00B81D9C">
            <w:pPr>
              <w:adjustRightInd w:val="0"/>
              <w:spacing w:line="300" w:lineRule="auto"/>
              <w:jc w:val="center"/>
              <w:textAlignment w:val="baseline"/>
              <w:rPr>
                <w:rFonts w:ascii="Times New Roman" w:hAnsi="Times New Roman"/>
                <w:bCs/>
                <w:kern w:val="0"/>
                <w:sz w:val="20"/>
                <w:szCs w:val="20"/>
              </w:rPr>
            </w:pPr>
            <w:r w:rsidRPr="00CF0ECF">
              <w:rPr>
                <w:rFonts w:ascii="Times New Roman" w:hAnsi="Times New Roman" w:hint="eastAsia"/>
                <w:bCs/>
                <w:kern w:val="0"/>
                <w:sz w:val="20"/>
                <w:szCs w:val="20"/>
              </w:rPr>
              <w:t>1070.3</w:t>
            </w:r>
          </w:p>
        </w:tc>
        <w:tc>
          <w:tcPr>
            <w:tcW w:w="1526" w:type="dxa"/>
            <w:tcBorders>
              <w:top w:val="nil"/>
            </w:tcBorders>
            <w:vAlign w:val="center"/>
          </w:tcPr>
          <w:p w14:paraId="72E32161" w14:textId="77777777" w:rsidR="00EB14FD" w:rsidRPr="00CF0ECF" w:rsidRDefault="00CF0ECF" w:rsidP="00B81D9C">
            <w:pPr>
              <w:adjustRightInd w:val="0"/>
              <w:spacing w:line="300" w:lineRule="auto"/>
              <w:jc w:val="center"/>
              <w:textAlignment w:val="baseline"/>
              <w:rPr>
                <w:rFonts w:ascii="Times New Roman" w:hAnsi="Times New Roman"/>
                <w:bCs/>
                <w:kern w:val="0"/>
                <w:sz w:val="20"/>
                <w:szCs w:val="20"/>
              </w:rPr>
            </w:pPr>
            <w:r w:rsidRPr="00CF0ECF">
              <w:rPr>
                <w:rFonts w:ascii="Times New Roman" w:hAnsi="Times New Roman" w:hint="eastAsia"/>
                <w:bCs/>
                <w:kern w:val="0"/>
                <w:sz w:val="20"/>
                <w:szCs w:val="20"/>
              </w:rPr>
              <w:t>834.84</w:t>
            </w:r>
          </w:p>
        </w:tc>
        <w:tc>
          <w:tcPr>
            <w:tcW w:w="1122" w:type="dxa"/>
            <w:tcBorders>
              <w:top w:val="nil"/>
            </w:tcBorders>
            <w:vAlign w:val="center"/>
          </w:tcPr>
          <w:p w14:paraId="0E847DD4" w14:textId="77777777" w:rsidR="00EB14FD" w:rsidRPr="00CF0ECF" w:rsidRDefault="00EB14FD" w:rsidP="00B81D9C">
            <w:pPr>
              <w:spacing w:line="300" w:lineRule="auto"/>
              <w:jc w:val="center"/>
              <w:rPr>
                <w:rFonts w:ascii="Times New Roman" w:hAnsi="Times New Roman"/>
              </w:rPr>
            </w:pPr>
          </w:p>
        </w:tc>
      </w:tr>
      <w:tr w:rsidR="00CF0ECF" w:rsidRPr="00CF0ECF" w14:paraId="49A6D8A1" w14:textId="77777777">
        <w:tc>
          <w:tcPr>
            <w:tcW w:w="1501" w:type="dxa"/>
            <w:vMerge/>
            <w:tcBorders>
              <w:top w:val="single" w:sz="4" w:space="0" w:color="auto"/>
              <w:bottom w:val="single" w:sz="4" w:space="0" w:color="auto"/>
              <w:tl2br w:val="nil"/>
              <w:tr2bl w:val="nil"/>
            </w:tcBorders>
            <w:vAlign w:val="center"/>
          </w:tcPr>
          <w:p w14:paraId="0CD0F72C" w14:textId="77777777" w:rsidR="00EB14FD" w:rsidRPr="00CF0ECF" w:rsidRDefault="00EB14FD" w:rsidP="00B81D9C">
            <w:pPr>
              <w:spacing w:line="300" w:lineRule="auto"/>
              <w:jc w:val="center"/>
              <w:rPr>
                <w:rFonts w:ascii="Times New Roman" w:hAnsi="Times New Roman"/>
              </w:rPr>
            </w:pPr>
          </w:p>
        </w:tc>
        <w:tc>
          <w:tcPr>
            <w:tcW w:w="1975" w:type="dxa"/>
            <w:tcBorders>
              <w:tl2br w:val="nil"/>
              <w:tr2bl w:val="nil"/>
            </w:tcBorders>
            <w:vAlign w:val="center"/>
          </w:tcPr>
          <w:p w14:paraId="47A71C7D"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Na</w:t>
            </w:r>
            <w:r w:rsidRPr="00CF0ECF">
              <w:rPr>
                <w:rFonts w:ascii="Times New Roman" w:hAnsi="Times New Roman" w:hint="eastAsia"/>
                <w:vertAlign w:val="subscript"/>
              </w:rPr>
              <w:t>2</w:t>
            </w:r>
            <w:r w:rsidRPr="00CF0ECF">
              <w:rPr>
                <w:rFonts w:ascii="Times New Roman" w:hAnsi="Times New Roman" w:hint="eastAsia"/>
              </w:rPr>
              <w:t>CO</w:t>
            </w:r>
            <w:r w:rsidRPr="00CF0ECF">
              <w:rPr>
                <w:rFonts w:ascii="Times New Roman" w:hAnsi="Times New Roman" w:hint="eastAsia"/>
                <w:vertAlign w:val="subscript"/>
              </w:rPr>
              <w:t>3</w:t>
            </w:r>
          </w:p>
        </w:tc>
        <w:tc>
          <w:tcPr>
            <w:tcW w:w="1187" w:type="dxa"/>
            <w:tcBorders>
              <w:tl2br w:val="nil"/>
              <w:tr2bl w:val="nil"/>
            </w:tcBorders>
            <w:vAlign w:val="center"/>
          </w:tcPr>
          <w:p w14:paraId="70FCC884" w14:textId="77777777" w:rsidR="00EB14FD" w:rsidRPr="00CF0ECF" w:rsidRDefault="00EB14FD" w:rsidP="00B81D9C">
            <w:pPr>
              <w:spacing w:line="300" w:lineRule="auto"/>
              <w:jc w:val="center"/>
              <w:rPr>
                <w:rFonts w:ascii="Times New Roman" w:hAnsi="Times New Roman"/>
              </w:rPr>
            </w:pPr>
          </w:p>
        </w:tc>
        <w:tc>
          <w:tcPr>
            <w:tcW w:w="1174" w:type="dxa"/>
            <w:tcBorders>
              <w:tl2br w:val="nil"/>
              <w:tr2bl w:val="nil"/>
            </w:tcBorders>
            <w:vAlign w:val="center"/>
          </w:tcPr>
          <w:p w14:paraId="2CA55961" w14:textId="77777777" w:rsidR="00EB14FD" w:rsidRPr="00CF0ECF" w:rsidRDefault="00CF0ECF" w:rsidP="00B81D9C">
            <w:pPr>
              <w:adjustRightInd w:val="0"/>
              <w:spacing w:line="300" w:lineRule="auto"/>
              <w:jc w:val="center"/>
              <w:textAlignment w:val="baseline"/>
              <w:rPr>
                <w:rFonts w:ascii="Times New Roman" w:hAnsi="Times New Roman"/>
                <w:bCs/>
                <w:kern w:val="0"/>
                <w:sz w:val="20"/>
                <w:szCs w:val="20"/>
              </w:rPr>
            </w:pPr>
            <w:r w:rsidRPr="00CF0ECF">
              <w:rPr>
                <w:rFonts w:ascii="Times New Roman" w:hAnsi="Times New Roman"/>
                <w:bCs/>
                <w:kern w:val="0"/>
                <w:sz w:val="20"/>
                <w:szCs w:val="20"/>
              </w:rPr>
              <w:t>214.16</w:t>
            </w:r>
          </w:p>
        </w:tc>
        <w:tc>
          <w:tcPr>
            <w:tcW w:w="1526" w:type="dxa"/>
            <w:tcBorders>
              <w:tl2br w:val="nil"/>
              <w:tr2bl w:val="nil"/>
            </w:tcBorders>
            <w:vAlign w:val="center"/>
          </w:tcPr>
          <w:p w14:paraId="5E62A797" w14:textId="77777777" w:rsidR="00EB14FD" w:rsidRPr="00CF0ECF" w:rsidRDefault="00CF0ECF" w:rsidP="00B81D9C">
            <w:pPr>
              <w:adjustRightInd w:val="0"/>
              <w:spacing w:line="300" w:lineRule="auto"/>
              <w:jc w:val="center"/>
              <w:textAlignment w:val="baseline"/>
              <w:rPr>
                <w:rFonts w:ascii="Times New Roman" w:hAnsi="Times New Roman"/>
                <w:bCs/>
                <w:kern w:val="0"/>
                <w:sz w:val="20"/>
                <w:szCs w:val="20"/>
              </w:rPr>
            </w:pPr>
            <w:r w:rsidRPr="00CF0ECF">
              <w:rPr>
                <w:rFonts w:ascii="Times New Roman" w:hAnsi="Times New Roman"/>
                <w:bCs/>
                <w:kern w:val="0"/>
                <w:sz w:val="20"/>
                <w:szCs w:val="20"/>
              </w:rPr>
              <w:t>299.82</w:t>
            </w:r>
          </w:p>
        </w:tc>
        <w:tc>
          <w:tcPr>
            <w:tcW w:w="1122" w:type="dxa"/>
            <w:tcBorders>
              <w:tl2br w:val="nil"/>
              <w:tr2bl w:val="nil"/>
            </w:tcBorders>
            <w:vAlign w:val="center"/>
          </w:tcPr>
          <w:p w14:paraId="09C44565" w14:textId="77777777" w:rsidR="00EB14FD" w:rsidRPr="00CF0ECF" w:rsidRDefault="00EB14FD" w:rsidP="00B81D9C">
            <w:pPr>
              <w:spacing w:line="300" w:lineRule="auto"/>
              <w:jc w:val="center"/>
              <w:rPr>
                <w:rFonts w:ascii="Times New Roman" w:hAnsi="Times New Roman"/>
              </w:rPr>
            </w:pPr>
          </w:p>
        </w:tc>
      </w:tr>
      <w:tr w:rsidR="00CF0ECF" w:rsidRPr="00CF0ECF" w14:paraId="7C965DD9" w14:textId="77777777">
        <w:tc>
          <w:tcPr>
            <w:tcW w:w="1501" w:type="dxa"/>
            <w:vMerge/>
            <w:tcBorders>
              <w:top w:val="single" w:sz="4" w:space="0" w:color="auto"/>
              <w:bottom w:val="single" w:sz="4" w:space="0" w:color="auto"/>
              <w:tl2br w:val="nil"/>
              <w:tr2bl w:val="nil"/>
            </w:tcBorders>
            <w:vAlign w:val="center"/>
          </w:tcPr>
          <w:p w14:paraId="20D18762" w14:textId="77777777" w:rsidR="00EB14FD" w:rsidRPr="00CF0ECF" w:rsidRDefault="00EB14FD" w:rsidP="00B81D9C">
            <w:pPr>
              <w:spacing w:line="300" w:lineRule="auto"/>
              <w:jc w:val="center"/>
              <w:rPr>
                <w:rFonts w:ascii="Times New Roman" w:hAnsi="Times New Roman"/>
              </w:rPr>
            </w:pPr>
          </w:p>
        </w:tc>
        <w:tc>
          <w:tcPr>
            <w:tcW w:w="1975" w:type="dxa"/>
            <w:tcBorders>
              <w:bottom w:val="single" w:sz="4" w:space="0" w:color="auto"/>
            </w:tcBorders>
            <w:vAlign w:val="center"/>
          </w:tcPr>
          <w:p w14:paraId="21438DD9"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Energy consumption</w:t>
            </w:r>
          </w:p>
        </w:tc>
        <w:tc>
          <w:tcPr>
            <w:tcW w:w="1187" w:type="dxa"/>
            <w:tcBorders>
              <w:bottom w:val="single" w:sz="4" w:space="0" w:color="auto"/>
            </w:tcBorders>
            <w:vAlign w:val="center"/>
          </w:tcPr>
          <w:p w14:paraId="37A5901B" w14:textId="77777777" w:rsidR="00EB14FD" w:rsidRPr="00CF0ECF" w:rsidRDefault="00EB14FD" w:rsidP="00B81D9C">
            <w:pPr>
              <w:spacing w:line="300" w:lineRule="auto"/>
              <w:jc w:val="center"/>
              <w:rPr>
                <w:rFonts w:ascii="Times New Roman" w:hAnsi="Times New Roman"/>
              </w:rPr>
            </w:pPr>
          </w:p>
        </w:tc>
        <w:tc>
          <w:tcPr>
            <w:tcW w:w="1174" w:type="dxa"/>
            <w:tcBorders>
              <w:bottom w:val="single" w:sz="4" w:space="0" w:color="auto"/>
            </w:tcBorders>
            <w:vAlign w:val="center"/>
          </w:tcPr>
          <w:p w14:paraId="65962037" w14:textId="77777777" w:rsidR="00EB14FD" w:rsidRPr="00CF0ECF" w:rsidRDefault="00CF0ECF" w:rsidP="00B81D9C">
            <w:pPr>
              <w:adjustRightInd w:val="0"/>
              <w:spacing w:line="300" w:lineRule="auto"/>
              <w:jc w:val="center"/>
              <w:textAlignment w:val="baseline"/>
              <w:rPr>
                <w:rFonts w:ascii="Times New Roman" w:hAnsi="Times New Roman"/>
                <w:bCs/>
                <w:kern w:val="0"/>
                <w:sz w:val="20"/>
                <w:szCs w:val="20"/>
              </w:rPr>
            </w:pPr>
            <w:r w:rsidRPr="00CF0ECF">
              <w:rPr>
                <w:rFonts w:ascii="Times New Roman" w:hAnsi="Times New Roman"/>
                <w:bCs/>
                <w:kern w:val="0"/>
                <w:sz w:val="20"/>
                <w:szCs w:val="20"/>
              </w:rPr>
              <w:t>7.26</w:t>
            </w:r>
          </w:p>
        </w:tc>
        <w:tc>
          <w:tcPr>
            <w:tcW w:w="1526" w:type="dxa"/>
            <w:tcBorders>
              <w:bottom w:val="single" w:sz="4" w:space="0" w:color="auto"/>
            </w:tcBorders>
            <w:vAlign w:val="center"/>
          </w:tcPr>
          <w:p w14:paraId="4B5ED7F7" w14:textId="77777777" w:rsidR="00EB14FD" w:rsidRPr="00CF0ECF" w:rsidRDefault="00CF0ECF" w:rsidP="00B81D9C">
            <w:pPr>
              <w:adjustRightInd w:val="0"/>
              <w:spacing w:line="300" w:lineRule="auto"/>
              <w:jc w:val="center"/>
              <w:textAlignment w:val="baseline"/>
              <w:rPr>
                <w:rFonts w:ascii="Times New Roman" w:hAnsi="Times New Roman"/>
                <w:bCs/>
                <w:kern w:val="0"/>
                <w:sz w:val="20"/>
                <w:szCs w:val="20"/>
              </w:rPr>
            </w:pPr>
            <w:r w:rsidRPr="00CF0ECF">
              <w:rPr>
                <w:rFonts w:ascii="Times New Roman" w:hAnsi="Times New Roman"/>
                <w:bCs/>
                <w:kern w:val="0"/>
                <w:sz w:val="20"/>
                <w:szCs w:val="20"/>
              </w:rPr>
              <w:t>7.26</w:t>
            </w:r>
          </w:p>
        </w:tc>
        <w:tc>
          <w:tcPr>
            <w:tcW w:w="1122" w:type="dxa"/>
            <w:tcBorders>
              <w:bottom w:val="single" w:sz="4" w:space="0" w:color="auto"/>
            </w:tcBorders>
            <w:vAlign w:val="center"/>
          </w:tcPr>
          <w:p w14:paraId="108FED7C" w14:textId="77777777" w:rsidR="00EB14FD" w:rsidRPr="00CF0ECF" w:rsidRDefault="00EB14FD" w:rsidP="00B81D9C">
            <w:pPr>
              <w:spacing w:line="300" w:lineRule="auto"/>
              <w:jc w:val="center"/>
              <w:rPr>
                <w:rFonts w:ascii="Times New Roman" w:hAnsi="Times New Roman"/>
              </w:rPr>
            </w:pPr>
          </w:p>
        </w:tc>
      </w:tr>
      <w:tr w:rsidR="00CF0ECF" w:rsidRPr="00CF0ECF" w14:paraId="1DC4B113" w14:textId="77777777">
        <w:tc>
          <w:tcPr>
            <w:tcW w:w="1501" w:type="dxa"/>
            <w:vMerge w:val="restart"/>
            <w:tcBorders>
              <w:top w:val="single" w:sz="4" w:space="0" w:color="auto"/>
            </w:tcBorders>
            <w:vAlign w:val="center"/>
          </w:tcPr>
          <w:p w14:paraId="2F9B49B1"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Leaching</w:t>
            </w:r>
          </w:p>
        </w:tc>
        <w:tc>
          <w:tcPr>
            <w:tcW w:w="1975" w:type="dxa"/>
            <w:tcBorders>
              <w:top w:val="single" w:sz="4" w:space="0" w:color="auto"/>
              <w:bottom w:val="nil"/>
            </w:tcBorders>
            <w:vAlign w:val="center"/>
          </w:tcPr>
          <w:p w14:paraId="7366C884"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Deionized water</w:t>
            </w:r>
          </w:p>
        </w:tc>
        <w:tc>
          <w:tcPr>
            <w:tcW w:w="1187" w:type="dxa"/>
            <w:tcBorders>
              <w:top w:val="single" w:sz="4" w:space="0" w:color="auto"/>
              <w:bottom w:val="nil"/>
            </w:tcBorders>
            <w:vAlign w:val="center"/>
          </w:tcPr>
          <w:p w14:paraId="49275927" w14:textId="77777777" w:rsidR="00EB14FD" w:rsidRPr="00CF0ECF" w:rsidRDefault="00EB14FD" w:rsidP="00B81D9C">
            <w:pPr>
              <w:spacing w:line="300" w:lineRule="auto"/>
              <w:jc w:val="center"/>
              <w:rPr>
                <w:rFonts w:ascii="Times New Roman" w:hAnsi="Times New Roman"/>
              </w:rPr>
            </w:pPr>
          </w:p>
        </w:tc>
        <w:tc>
          <w:tcPr>
            <w:tcW w:w="1174" w:type="dxa"/>
            <w:tcBorders>
              <w:top w:val="single" w:sz="4" w:space="0" w:color="auto"/>
              <w:bottom w:val="nil"/>
            </w:tcBorders>
            <w:vAlign w:val="center"/>
          </w:tcPr>
          <w:p w14:paraId="059407E9"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22.34</w:t>
            </w:r>
          </w:p>
        </w:tc>
        <w:tc>
          <w:tcPr>
            <w:tcW w:w="1526" w:type="dxa"/>
            <w:tcBorders>
              <w:top w:val="single" w:sz="4" w:space="0" w:color="auto"/>
              <w:bottom w:val="nil"/>
            </w:tcBorders>
            <w:vAlign w:val="center"/>
          </w:tcPr>
          <w:p w14:paraId="1B0027D9"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692.54</w:t>
            </w:r>
          </w:p>
        </w:tc>
        <w:tc>
          <w:tcPr>
            <w:tcW w:w="1122" w:type="dxa"/>
            <w:tcBorders>
              <w:top w:val="single" w:sz="4" w:space="0" w:color="auto"/>
              <w:bottom w:val="nil"/>
            </w:tcBorders>
            <w:vAlign w:val="center"/>
          </w:tcPr>
          <w:p w14:paraId="70057E21" w14:textId="77777777" w:rsidR="00EB14FD" w:rsidRPr="00CF0ECF" w:rsidRDefault="00EB14FD" w:rsidP="00B81D9C">
            <w:pPr>
              <w:spacing w:line="300" w:lineRule="auto"/>
              <w:jc w:val="center"/>
              <w:rPr>
                <w:rFonts w:ascii="Times New Roman" w:hAnsi="Times New Roman"/>
              </w:rPr>
            </w:pPr>
          </w:p>
        </w:tc>
      </w:tr>
      <w:tr w:rsidR="00CF0ECF" w:rsidRPr="00CF0ECF" w14:paraId="16993CBC" w14:textId="77777777">
        <w:tc>
          <w:tcPr>
            <w:tcW w:w="1501" w:type="dxa"/>
            <w:vMerge/>
            <w:tcBorders>
              <w:bottom w:val="single" w:sz="4" w:space="0" w:color="auto"/>
            </w:tcBorders>
            <w:vAlign w:val="center"/>
          </w:tcPr>
          <w:p w14:paraId="1DC9EDC3" w14:textId="77777777" w:rsidR="00EB14FD" w:rsidRPr="00CF0ECF" w:rsidRDefault="00EB14FD" w:rsidP="00B81D9C">
            <w:pPr>
              <w:spacing w:line="300" w:lineRule="auto"/>
              <w:jc w:val="center"/>
              <w:rPr>
                <w:rFonts w:ascii="Times New Roman" w:hAnsi="Times New Roman"/>
              </w:rPr>
            </w:pPr>
          </w:p>
        </w:tc>
        <w:tc>
          <w:tcPr>
            <w:tcW w:w="1975" w:type="dxa"/>
            <w:tcBorders>
              <w:top w:val="nil"/>
              <w:bottom w:val="single" w:sz="4" w:space="0" w:color="auto"/>
            </w:tcBorders>
            <w:vAlign w:val="center"/>
          </w:tcPr>
          <w:p w14:paraId="66B30CBB" w14:textId="77777777" w:rsidR="00EB14FD" w:rsidRPr="00CF0ECF" w:rsidRDefault="00EB14FD" w:rsidP="00B81D9C">
            <w:pPr>
              <w:spacing w:line="300" w:lineRule="auto"/>
              <w:jc w:val="center"/>
              <w:rPr>
                <w:rFonts w:ascii="Times New Roman" w:hAnsi="Times New Roman"/>
              </w:rPr>
            </w:pPr>
          </w:p>
        </w:tc>
        <w:tc>
          <w:tcPr>
            <w:tcW w:w="1187" w:type="dxa"/>
            <w:tcBorders>
              <w:top w:val="nil"/>
              <w:bottom w:val="single" w:sz="4" w:space="0" w:color="auto"/>
            </w:tcBorders>
            <w:vAlign w:val="center"/>
          </w:tcPr>
          <w:p w14:paraId="7DFC594A"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rPr>
              <w:t>LiOH·H</w:t>
            </w:r>
            <w:r w:rsidRPr="00CF0ECF">
              <w:rPr>
                <w:rFonts w:ascii="Times New Roman" w:hAnsi="Times New Roman"/>
                <w:vertAlign w:val="subscript"/>
              </w:rPr>
              <w:t>2</w:t>
            </w:r>
            <w:r w:rsidRPr="00CF0ECF">
              <w:rPr>
                <w:rFonts w:ascii="Times New Roman" w:hAnsi="Times New Roman"/>
              </w:rPr>
              <w:t>O</w:t>
            </w:r>
          </w:p>
        </w:tc>
        <w:tc>
          <w:tcPr>
            <w:tcW w:w="1174" w:type="dxa"/>
            <w:tcBorders>
              <w:top w:val="nil"/>
              <w:bottom w:val="single" w:sz="4" w:space="0" w:color="auto"/>
            </w:tcBorders>
            <w:vAlign w:val="center"/>
          </w:tcPr>
          <w:p w14:paraId="54FA79A5"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31019.98</w:t>
            </w:r>
          </w:p>
        </w:tc>
        <w:tc>
          <w:tcPr>
            <w:tcW w:w="1526" w:type="dxa"/>
            <w:tcBorders>
              <w:top w:val="nil"/>
              <w:bottom w:val="single" w:sz="4" w:space="0" w:color="auto"/>
            </w:tcBorders>
            <w:vAlign w:val="center"/>
          </w:tcPr>
          <w:p w14:paraId="2819A242" w14:textId="77777777" w:rsidR="00EB14FD" w:rsidRPr="00CF0ECF" w:rsidRDefault="00EB14FD" w:rsidP="00B81D9C">
            <w:pPr>
              <w:spacing w:line="300" w:lineRule="auto"/>
              <w:jc w:val="center"/>
              <w:rPr>
                <w:rFonts w:ascii="Times New Roman" w:hAnsi="Times New Roman"/>
              </w:rPr>
            </w:pPr>
          </w:p>
        </w:tc>
        <w:tc>
          <w:tcPr>
            <w:tcW w:w="1122" w:type="dxa"/>
            <w:tcBorders>
              <w:top w:val="nil"/>
              <w:bottom w:val="single" w:sz="4" w:space="0" w:color="auto"/>
            </w:tcBorders>
            <w:vAlign w:val="center"/>
          </w:tcPr>
          <w:p w14:paraId="7A72865B" w14:textId="77777777" w:rsidR="00EB14FD" w:rsidRPr="00CF0ECF" w:rsidRDefault="00CF0ECF" w:rsidP="00B81D9C">
            <w:pPr>
              <w:spacing w:line="300" w:lineRule="auto"/>
              <w:jc w:val="center"/>
              <w:rPr>
                <w:rFonts w:ascii="Times New Roman" w:hAnsi="Times New Roman"/>
                <w:bCs/>
                <w:kern w:val="0"/>
                <w:sz w:val="20"/>
                <w:szCs w:val="20"/>
              </w:rPr>
            </w:pPr>
            <w:r w:rsidRPr="00CF0ECF">
              <w:rPr>
                <w:rFonts w:ascii="Times New Roman" w:hAnsi="Times New Roman"/>
                <w:bCs/>
                <w:kern w:val="0"/>
                <w:sz w:val="20"/>
                <w:szCs w:val="20"/>
              </w:rPr>
              <w:t>2453.37</w:t>
            </w:r>
          </w:p>
        </w:tc>
      </w:tr>
      <w:tr w:rsidR="00CF0ECF" w:rsidRPr="00CF0ECF" w14:paraId="05653021" w14:textId="77777777">
        <w:tc>
          <w:tcPr>
            <w:tcW w:w="1501" w:type="dxa"/>
            <w:tcBorders>
              <w:top w:val="single" w:sz="4" w:space="0" w:color="auto"/>
              <w:tl2br w:val="nil"/>
              <w:tr2bl w:val="nil"/>
            </w:tcBorders>
            <w:vAlign w:val="center"/>
          </w:tcPr>
          <w:p w14:paraId="0FBBAC86"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Total cost</w:t>
            </w:r>
          </w:p>
        </w:tc>
        <w:tc>
          <w:tcPr>
            <w:tcW w:w="1975" w:type="dxa"/>
            <w:tcBorders>
              <w:top w:val="single" w:sz="4" w:space="0" w:color="auto"/>
              <w:tl2br w:val="nil"/>
              <w:tr2bl w:val="nil"/>
            </w:tcBorders>
            <w:vAlign w:val="center"/>
          </w:tcPr>
          <w:p w14:paraId="2DD65B4F" w14:textId="77777777" w:rsidR="00EB14FD" w:rsidRPr="00CF0ECF" w:rsidRDefault="00EB14FD" w:rsidP="00B81D9C">
            <w:pPr>
              <w:spacing w:line="300" w:lineRule="auto"/>
              <w:jc w:val="center"/>
              <w:rPr>
                <w:rFonts w:ascii="Times New Roman" w:hAnsi="Times New Roman"/>
              </w:rPr>
            </w:pPr>
          </w:p>
        </w:tc>
        <w:tc>
          <w:tcPr>
            <w:tcW w:w="1187" w:type="dxa"/>
            <w:tcBorders>
              <w:top w:val="single" w:sz="4" w:space="0" w:color="auto"/>
              <w:tl2br w:val="nil"/>
              <w:tr2bl w:val="nil"/>
            </w:tcBorders>
            <w:vAlign w:val="center"/>
          </w:tcPr>
          <w:p w14:paraId="1379BC3F" w14:textId="77777777" w:rsidR="00EB14FD" w:rsidRPr="00CF0ECF" w:rsidRDefault="00EB14FD" w:rsidP="00B81D9C">
            <w:pPr>
              <w:spacing w:line="300" w:lineRule="auto"/>
              <w:jc w:val="center"/>
              <w:rPr>
                <w:rFonts w:ascii="Times New Roman" w:hAnsi="Times New Roman"/>
              </w:rPr>
            </w:pPr>
          </w:p>
        </w:tc>
        <w:tc>
          <w:tcPr>
            <w:tcW w:w="1174" w:type="dxa"/>
            <w:tcBorders>
              <w:top w:val="single" w:sz="4" w:space="0" w:color="auto"/>
              <w:tl2br w:val="nil"/>
              <w:tr2bl w:val="nil"/>
            </w:tcBorders>
            <w:vAlign w:val="center"/>
          </w:tcPr>
          <w:p w14:paraId="4037687F" w14:textId="77777777" w:rsidR="00EB14FD" w:rsidRPr="00CF0ECF" w:rsidRDefault="00EB14FD" w:rsidP="00B81D9C">
            <w:pPr>
              <w:spacing w:line="300" w:lineRule="auto"/>
              <w:jc w:val="center"/>
              <w:rPr>
                <w:rFonts w:ascii="Times New Roman" w:hAnsi="Times New Roman"/>
              </w:rPr>
            </w:pPr>
          </w:p>
        </w:tc>
        <w:tc>
          <w:tcPr>
            <w:tcW w:w="1526" w:type="dxa"/>
            <w:tcBorders>
              <w:top w:val="single" w:sz="4" w:space="0" w:color="auto"/>
              <w:tl2br w:val="nil"/>
              <w:tr2bl w:val="nil"/>
            </w:tcBorders>
            <w:vAlign w:val="center"/>
          </w:tcPr>
          <w:p w14:paraId="28B09F0A"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2023.45</w:t>
            </w:r>
          </w:p>
        </w:tc>
        <w:tc>
          <w:tcPr>
            <w:tcW w:w="1122" w:type="dxa"/>
            <w:tcBorders>
              <w:top w:val="single" w:sz="4" w:space="0" w:color="auto"/>
              <w:tl2br w:val="nil"/>
              <w:tr2bl w:val="nil"/>
            </w:tcBorders>
            <w:vAlign w:val="center"/>
          </w:tcPr>
          <w:p w14:paraId="1AD20060" w14:textId="77777777" w:rsidR="00EB14FD" w:rsidRPr="00CF0ECF" w:rsidRDefault="00EB14FD" w:rsidP="00B81D9C">
            <w:pPr>
              <w:spacing w:line="300" w:lineRule="auto"/>
              <w:jc w:val="center"/>
              <w:rPr>
                <w:rFonts w:ascii="Times New Roman" w:hAnsi="Times New Roman"/>
              </w:rPr>
            </w:pPr>
          </w:p>
        </w:tc>
      </w:tr>
      <w:tr w:rsidR="00CF0ECF" w:rsidRPr="00CF0ECF" w14:paraId="5F779060" w14:textId="77777777" w:rsidTr="00B81D9C">
        <w:tc>
          <w:tcPr>
            <w:tcW w:w="1501" w:type="dxa"/>
            <w:tcBorders>
              <w:bottom w:val="single" w:sz="4" w:space="0" w:color="auto"/>
              <w:tl2br w:val="nil"/>
              <w:tr2bl w:val="nil"/>
            </w:tcBorders>
            <w:vAlign w:val="center"/>
          </w:tcPr>
          <w:p w14:paraId="15F41FE2"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hint="eastAsia"/>
              </w:rPr>
              <w:t>Total recovery</w:t>
            </w:r>
          </w:p>
        </w:tc>
        <w:tc>
          <w:tcPr>
            <w:tcW w:w="1975" w:type="dxa"/>
            <w:tcBorders>
              <w:bottom w:val="single" w:sz="4" w:space="0" w:color="auto"/>
              <w:tl2br w:val="nil"/>
              <w:tr2bl w:val="nil"/>
            </w:tcBorders>
            <w:vAlign w:val="center"/>
          </w:tcPr>
          <w:p w14:paraId="5177D5ED" w14:textId="77777777" w:rsidR="00EB14FD" w:rsidRPr="00CF0ECF" w:rsidRDefault="00EB14FD" w:rsidP="00B81D9C">
            <w:pPr>
              <w:spacing w:line="300" w:lineRule="auto"/>
              <w:jc w:val="center"/>
              <w:rPr>
                <w:rFonts w:ascii="Times New Roman" w:hAnsi="Times New Roman"/>
              </w:rPr>
            </w:pPr>
          </w:p>
        </w:tc>
        <w:tc>
          <w:tcPr>
            <w:tcW w:w="1187" w:type="dxa"/>
            <w:tcBorders>
              <w:bottom w:val="single" w:sz="4" w:space="0" w:color="auto"/>
              <w:tl2br w:val="nil"/>
              <w:tr2bl w:val="nil"/>
            </w:tcBorders>
            <w:vAlign w:val="center"/>
          </w:tcPr>
          <w:p w14:paraId="7D56C11B" w14:textId="77777777" w:rsidR="00EB14FD" w:rsidRPr="00CF0ECF" w:rsidRDefault="00EB14FD" w:rsidP="00B81D9C">
            <w:pPr>
              <w:spacing w:line="300" w:lineRule="auto"/>
              <w:jc w:val="center"/>
              <w:rPr>
                <w:rFonts w:ascii="Times New Roman" w:hAnsi="Times New Roman"/>
              </w:rPr>
            </w:pPr>
          </w:p>
        </w:tc>
        <w:tc>
          <w:tcPr>
            <w:tcW w:w="1174" w:type="dxa"/>
            <w:tcBorders>
              <w:bottom w:val="single" w:sz="4" w:space="0" w:color="auto"/>
              <w:tl2br w:val="nil"/>
              <w:tr2bl w:val="nil"/>
            </w:tcBorders>
            <w:vAlign w:val="center"/>
          </w:tcPr>
          <w:p w14:paraId="043B2B1D" w14:textId="77777777" w:rsidR="00EB14FD" w:rsidRPr="00CF0ECF" w:rsidRDefault="00EB14FD" w:rsidP="00B81D9C">
            <w:pPr>
              <w:spacing w:line="300" w:lineRule="auto"/>
              <w:jc w:val="center"/>
              <w:rPr>
                <w:rFonts w:ascii="Times New Roman" w:hAnsi="Times New Roman"/>
              </w:rPr>
            </w:pPr>
          </w:p>
        </w:tc>
        <w:tc>
          <w:tcPr>
            <w:tcW w:w="1526" w:type="dxa"/>
            <w:tcBorders>
              <w:bottom w:val="single" w:sz="4" w:space="0" w:color="auto"/>
              <w:tl2br w:val="nil"/>
              <w:tr2bl w:val="nil"/>
            </w:tcBorders>
            <w:vAlign w:val="center"/>
          </w:tcPr>
          <w:p w14:paraId="6CF1A637" w14:textId="77777777" w:rsidR="00EB14FD" w:rsidRPr="00CF0ECF" w:rsidRDefault="00EB14FD" w:rsidP="00B81D9C">
            <w:pPr>
              <w:spacing w:line="300" w:lineRule="auto"/>
              <w:jc w:val="center"/>
              <w:rPr>
                <w:rFonts w:ascii="Times New Roman" w:hAnsi="Times New Roman"/>
              </w:rPr>
            </w:pPr>
          </w:p>
        </w:tc>
        <w:tc>
          <w:tcPr>
            <w:tcW w:w="1122" w:type="dxa"/>
            <w:tcBorders>
              <w:bottom w:val="single" w:sz="4" w:space="0" w:color="auto"/>
              <w:tl2br w:val="nil"/>
              <w:tr2bl w:val="nil"/>
            </w:tcBorders>
            <w:vAlign w:val="center"/>
          </w:tcPr>
          <w:p w14:paraId="0D826C0B"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bCs/>
                <w:kern w:val="0"/>
                <w:sz w:val="20"/>
                <w:szCs w:val="20"/>
              </w:rPr>
              <w:t>2453.37</w:t>
            </w:r>
          </w:p>
        </w:tc>
      </w:tr>
      <w:tr w:rsidR="00CF0ECF" w:rsidRPr="00CF0ECF" w14:paraId="1EBF612D" w14:textId="77777777" w:rsidTr="00B81D9C">
        <w:tc>
          <w:tcPr>
            <w:tcW w:w="1501" w:type="dxa"/>
            <w:tcBorders>
              <w:top w:val="single" w:sz="4" w:space="0" w:color="auto"/>
              <w:bottom w:val="single" w:sz="4" w:space="0" w:color="auto"/>
              <w:tl2br w:val="nil"/>
              <w:tr2bl w:val="nil"/>
            </w:tcBorders>
            <w:vAlign w:val="center"/>
          </w:tcPr>
          <w:p w14:paraId="08EA9D6D" w14:textId="77777777" w:rsidR="00EB14FD" w:rsidRPr="00CF0ECF" w:rsidRDefault="00CF0ECF" w:rsidP="00B81D9C">
            <w:pPr>
              <w:spacing w:line="300" w:lineRule="auto"/>
              <w:jc w:val="center"/>
              <w:rPr>
                <w:rFonts w:ascii="Times New Roman" w:hAnsi="Times New Roman"/>
              </w:rPr>
            </w:pPr>
            <w:r w:rsidRPr="00CF0ECF">
              <w:rPr>
                <w:rFonts w:ascii="Times New Roman" w:hAnsi="Times New Roman"/>
                <w:bCs/>
                <w:kern w:val="0"/>
                <w:sz w:val="20"/>
                <w:szCs w:val="20"/>
              </w:rPr>
              <w:t>Profit in recycling</w:t>
            </w:r>
          </w:p>
        </w:tc>
        <w:tc>
          <w:tcPr>
            <w:tcW w:w="6984" w:type="dxa"/>
            <w:gridSpan w:val="5"/>
            <w:tcBorders>
              <w:top w:val="single" w:sz="4" w:space="0" w:color="auto"/>
              <w:bottom w:val="single" w:sz="4" w:space="0" w:color="auto"/>
              <w:tl2br w:val="nil"/>
              <w:tr2bl w:val="nil"/>
            </w:tcBorders>
            <w:vAlign w:val="center"/>
          </w:tcPr>
          <w:p w14:paraId="2BA61D50" w14:textId="257B1A98" w:rsidR="00EB14FD" w:rsidRPr="00CF0ECF" w:rsidRDefault="00CF0ECF" w:rsidP="00B81D9C">
            <w:pPr>
              <w:spacing w:line="300" w:lineRule="auto"/>
              <w:jc w:val="center"/>
              <w:rPr>
                <w:rFonts w:ascii="Times New Roman" w:hAnsi="Times New Roman"/>
                <w:bCs/>
                <w:kern w:val="0"/>
                <w:sz w:val="20"/>
                <w:szCs w:val="20"/>
              </w:rPr>
            </w:pPr>
            <w:r w:rsidRPr="00CF0ECF">
              <w:rPr>
                <w:rFonts w:ascii="Times New Roman" w:hAnsi="Times New Roman"/>
                <w:bCs/>
                <w:kern w:val="0"/>
                <w:sz w:val="20"/>
                <w:szCs w:val="20"/>
              </w:rPr>
              <w:t xml:space="preserve">(2453.37 </w:t>
            </w:r>
            <w:r w:rsidRPr="00CF0ECF">
              <w:rPr>
                <w:rFonts w:ascii="Times New Roman" w:eastAsia="微软雅黑" w:hAnsi="Times New Roman"/>
                <w:bCs/>
                <w:kern w:val="0"/>
                <w:sz w:val="20"/>
                <w:szCs w:val="20"/>
              </w:rPr>
              <w:t>−</w:t>
            </w:r>
            <w:r w:rsidRPr="00CF0ECF">
              <w:rPr>
                <w:rFonts w:ascii="Times New Roman" w:hAnsi="Times New Roman"/>
                <w:bCs/>
                <w:kern w:val="0"/>
                <w:sz w:val="20"/>
                <w:szCs w:val="20"/>
              </w:rPr>
              <w:t xml:space="preserve"> 2023.45) = 429.92</w:t>
            </w:r>
          </w:p>
        </w:tc>
      </w:tr>
    </w:tbl>
    <w:p w14:paraId="26EA6C63" w14:textId="77777777" w:rsidR="00EB14FD" w:rsidRPr="00CF0ECF" w:rsidRDefault="00EB14FD">
      <w:pPr>
        <w:spacing w:line="480" w:lineRule="auto"/>
        <w:rPr>
          <w:rFonts w:ascii="Times New Roman" w:hAnsi="Times New Roman"/>
          <w:b/>
          <w:sz w:val="20"/>
          <w:szCs w:val="20"/>
        </w:rPr>
      </w:pPr>
    </w:p>
    <w:p w14:paraId="0A4CE690" w14:textId="77777777" w:rsidR="00EB14FD" w:rsidRPr="00CF0ECF" w:rsidRDefault="00CF0ECF">
      <w:pPr>
        <w:spacing w:line="480" w:lineRule="auto"/>
        <w:rPr>
          <w:rFonts w:ascii="Times New Roman" w:hAnsi="Times New Roman"/>
          <w:b/>
          <w:sz w:val="20"/>
          <w:szCs w:val="20"/>
        </w:rPr>
      </w:pPr>
      <w:r w:rsidRPr="00CF0ECF">
        <w:rPr>
          <w:rFonts w:ascii="Times New Roman" w:hAnsi="Times New Roman"/>
          <w:b/>
          <w:sz w:val="20"/>
          <w:szCs w:val="20"/>
        </w:rPr>
        <w:t>References</w:t>
      </w:r>
    </w:p>
    <w:p w14:paraId="4335D890" w14:textId="7521FDD0" w:rsidR="00EB14FD" w:rsidRPr="00CF0ECF" w:rsidRDefault="00CF0ECF">
      <w:pPr>
        <w:spacing w:line="480" w:lineRule="auto"/>
        <w:rPr>
          <w:rFonts w:ascii="Times New Roman" w:hAnsi="Times New Roman"/>
          <w:bCs/>
          <w:sz w:val="20"/>
          <w:szCs w:val="20"/>
        </w:rPr>
      </w:pPr>
      <w:r w:rsidRPr="00CF0ECF">
        <w:rPr>
          <w:rFonts w:ascii="Times New Roman" w:hAnsi="Times New Roman"/>
          <w:bCs/>
          <w:sz w:val="20"/>
          <w:szCs w:val="20"/>
        </w:rPr>
        <w:t xml:space="preserve">[1] T. Georgi−Maschler, B. Friedrich, R. Weyhe, H. </w:t>
      </w:r>
      <w:proofErr w:type="spellStart"/>
      <w:r w:rsidRPr="00CF0ECF">
        <w:rPr>
          <w:rFonts w:ascii="Times New Roman" w:hAnsi="Times New Roman"/>
          <w:bCs/>
          <w:sz w:val="20"/>
          <w:szCs w:val="20"/>
        </w:rPr>
        <w:t>Heegn</w:t>
      </w:r>
      <w:proofErr w:type="spellEnd"/>
      <w:r w:rsidRPr="00CF0ECF">
        <w:rPr>
          <w:rFonts w:ascii="Times New Roman" w:hAnsi="Times New Roman"/>
          <w:bCs/>
          <w:sz w:val="20"/>
          <w:szCs w:val="20"/>
        </w:rPr>
        <w:t xml:space="preserve">, and M. </w:t>
      </w:r>
      <w:proofErr w:type="spellStart"/>
      <w:r w:rsidRPr="00CF0ECF">
        <w:rPr>
          <w:rFonts w:ascii="Times New Roman" w:hAnsi="Times New Roman"/>
          <w:bCs/>
          <w:sz w:val="20"/>
          <w:szCs w:val="20"/>
        </w:rPr>
        <w:t>Rutz</w:t>
      </w:r>
      <w:proofErr w:type="spellEnd"/>
      <w:r w:rsidRPr="00CF0ECF">
        <w:rPr>
          <w:rFonts w:ascii="Times New Roman" w:hAnsi="Times New Roman"/>
          <w:bCs/>
          <w:sz w:val="20"/>
          <w:szCs w:val="20"/>
        </w:rPr>
        <w:t xml:space="preserve">, Development of a recycling </w:t>
      </w:r>
      <w:r w:rsidRPr="00CF0ECF">
        <w:rPr>
          <w:rFonts w:ascii="Times New Roman" w:hAnsi="Times New Roman"/>
          <w:bCs/>
          <w:sz w:val="20"/>
          <w:szCs w:val="20"/>
        </w:rPr>
        <w:lastRenderedPageBreak/>
        <w:t xml:space="preserve">process for Li−ion batteries, </w:t>
      </w:r>
      <w:r w:rsidRPr="00CF0ECF">
        <w:rPr>
          <w:rFonts w:ascii="Times New Roman" w:hAnsi="Times New Roman"/>
          <w:i/>
          <w:iCs/>
          <w:sz w:val="20"/>
          <w:szCs w:val="20"/>
        </w:rPr>
        <w:t>J. Power Sources</w:t>
      </w:r>
      <w:r w:rsidRPr="00CF0ECF">
        <w:rPr>
          <w:rFonts w:ascii="Times New Roman" w:hAnsi="Times New Roman"/>
          <w:bCs/>
          <w:sz w:val="20"/>
          <w:szCs w:val="20"/>
        </w:rPr>
        <w:t>, 207(2012), p. 173.</w:t>
      </w:r>
    </w:p>
    <w:p w14:paraId="03C1D346" w14:textId="3412FA64" w:rsidR="00EB14FD" w:rsidRPr="00CF0ECF" w:rsidRDefault="00CF0ECF">
      <w:pPr>
        <w:spacing w:line="480" w:lineRule="auto"/>
        <w:rPr>
          <w:rFonts w:ascii="Times New Roman" w:hAnsi="Times New Roman"/>
        </w:rPr>
      </w:pPr>
      <w:r w:rsidRPr="00CF0ECF">
        <w:rPr>
          <w:rFonts w:ascii="Times New Roman" w:hAnsi="Times New Roman"/>
          <w:bCs/>
          <w:sz w:val="20"/>
          <w:szCs w:val="20"/>
        </w:rPr>
        <w:t>[2]</w:t>
      </w:r>
      <w:r w:rsidRPr="00CF0ECF">
        <w:rPr>
          <w:rFonts w:ascii="Times New Roman" w:hAnsi="Times New Roman"/>
        </w:rPr>
        <w:t xml:space="preserve"> J. </w:t>
      </w:r>
      <w:proofErr w:type="spellStart"/>
      <w:r w:rsidRPr="00CF0ECF">
        <w:rPr>
          <w:rFonts w:ascii="Times New Roman" w:hAnsi="Times New Roman"/>
        </w:rPr>
        <w:t>Heulens</w:t>
      </w:r>
      <w:proofErr w:type="spellEnd"/>
      <w:r w:rsidRPr="00CF0ECF">
        <w:rPr>
          <w:rFonts w:ascii="Times New Roman" w:hAnsi="Times New Roman"/>
        </w:rPr>
        <w:t xml:space="preserve">, D. V. </w:t>
      </w:r>
      <w:proofErr w:type="spellStart"/>
      <w:r w:rsidRPr="00CF0ECF">
        <w:rPr>
          <w:rFonts w:ascii="Times New Roman" w:hAnsi="Times New Roman"/>
        </w:rPr>
        <w:t>Horebeek</w:t>
      </w:r>
      <w:proofErr w:type="spellEnd"/>
      <w:r w:rsidRPr="00CF0ECF">
        <w:rPr>
          <w:rFonts w:ascii="Times New Roman" w:hAnsi="Times New Roman"/>
        </w:rPr>
        <w:t xml:space="preserve">, M. </w:t>
      </w:r>
      <w:proofErr w:type="spellStart"/>
      <w:r w:rsidRPr="00CF0ECF">
        <w:rPr>
          <w:rFonts w:ascii="Times New Roman" w:hAnsi="Times New Roman"/>
        </w:rPr>
        <w:t>Quix</w:t>
      </w:r>
      <w:proofErr w:type="spellEnd"/>
      <w:r w:rsidRPr="00CF0ECF">
        <w:rPr>
          <w:rFonts w:ascii="Times New Roman" w:hAnsi="Times New Roman"/>
        </w:rPr>
        <w:t xml:space="preserve">, and S. Brouwer, </w:t>
      </w:r>
      <w:r w:rsidRPr="00CF0ECF">
        <w:rPr>
          <w:rFonts w:ascii="Times New Roman" w:hAnsi="Times New Roman"/>
          <w:i/>
          <w:iCs/>
        </w:rPr>
        <w:t>Process for Smelting Lithium-ion Batteries</w:t>
      </w:r>
      <w:r w:rsidRPr="00CF0ECF">
        <w:rPr>
          <w:rFonts w:ascii="Times New Roman" w:hAnsi="Times New Roman"/>
        </w:rPr>
        <w:t xml:space="preserve">, United States Patent, Appl. </w:t>
      </w:r>
      <w:r w:rsidRPr="00CF0ECF">
        <w:rPr>
          <w:rFonts w:ascii="Times New Roman" w:hAnsi="Times New Roman" w:hint="eastAsia"/>
          <w:bCs/>
        </w:rPr>
        <w:t>15/503416,</w:t>
      </w:r>
      <w:r w:rsidRPr="00CF0ECF">
        <w:rPr>
          <w:rFonts w:ascii="Times New Roman" w:hAnsi="Times New Roman"/>
        </w:rPr>
        <w:t xml:space="preserve"> 2017.</w:t>
      </w:r>
    </w:p>
    <w:p w14:paraId="3DD2D86E" w14:textId="571CA279" w:rsidR="00EB14FD" w:rsidRPr="00CF0ECF" w:rsidRDefault="00CF0ECF">
      <w:pPr>
        <w:spacing w:line="480" w:lineRule="auto"/>
        <w:rPr>
          <w:rFonts w:ascii="Times New Roman" w:hAnsi="Times New Roman"/>
          <w:bCs/>
          <w:sz w:val="20"/>
          <w:szCs w:val="20"/>
        </w:rPr>
      </w:pPr>
      <w:r w:rsidRPr="00CF0ECF">
        <w:rPr>
          <w:rFonts w:ascii="Times New Roman" w:hAnsi="Times New Roman"/>
          <w:bCs/>
          <w:sz w:val="20"/>
          <w:szCs w:val="20"/>
        </w:rPr>
        <w:t xml:space="preserve">[3] G.X. Ren, S.W. Xiao, M.Q. </w:t>
      </w:r>
      <w:proofErr w:type="spellStart"/>
      <w:r w:rsidRPr="00CF0ECF">
        <w:rPr>
          <w:rFonts w:ascii="Times New Roman" w:hAnsi="Times New Roman"/>
          <w:bCs/>
          <w:sz w:val="20"/>
          <w:szCs w:val="20"/>
        </w:rPr>
        <w:t>Xie</w:t>
      </w:r>
      <w:proofErr w:type="spellEnd"/>
      <w:r w:rsidRPr="00CF0ECF">
        <w:rPr>
          <w:rFonts w:ascii="Times New Roman" w:hAnsi="Times New Roman"/>
          <w:bCs/>
          <w:sz w:val="20"/>
          <w:szCs w:val="20"/>
        </w:rPr>
        <w:t xml:space="preserve">, B. Pan, J. Chen, F.G. Wang, and X. Xia, Recovery of valuable metals from spent </w:t>
      </w:r>
      <w:proofErr w:type="gramStart"/>
      <w:r w:rsidRPr="00CF0ECF">
        <w:rPr>
          <w:rFonts w:ascii="Times New Roman" w:hAnsi="Times New Roman"/>
          <w:bCs/>
          <w:sz w:val="20"/>
          <w:szCs w:val="20"/>
        </w:rPr>
        <w:t>lithium ion</w:t>
      </w:r>
      <w:proofErr w:type="gramEnd"/>
      <w:r w:rsidRPr="00CF0ECF">
        <w:rPr>
          <w:rFonts w:ascii="Times New Roman" w:hAnsi="Times New Roman"/>
          <w:bCs/>
          <w:sz w:val="20"/>
          <w:szCs w:val="20"/>
        </w:rPr>
        <w:t xml:space="preserve"> batteries by smelting reduction process based on FeO−SiO</w:t>
      </w:r>
      <w:r w:rsidRPr="00CF0ECF">
        <w:rPr>
          <w:rFonts w:ascii="Times New Roman" w:hAnsi="Times New Roman"/>
          <w:bCs/>
          <w:sz w:val="20"/>
          <w:szCs w:val="20"/>
          <w:vertAlign w:val="subscript"/>
        </w:rPr>
        <w:t>2</w:t>
      </w:r>
      <w:r w:rsidRPr="00CF0ECF">
        <w:rPr>
          <w:rFonts w:ascii="Times New Roman" w:hAnsi="Times New Roman"/>
          <w:bCs/>
          <w:sz w:val="20"/>
          <w:szCs w:val="20"/>
        </w:rPr>
        <w:t>−Al</w:t>
      </w:r>
      <w:r w:rsidRPr="00CF0ECF">
        <w:rPr>
          <w:rFonts w:ascii="Times New Roman" w:hAnsi="Times New Roman"/>
          <w:bCs/>
          <w:sz w:val="20"/>
          <w:szCs w:val="20"/>
          <w:vertAlign w:val="subscript"/>
        </w:rPr>
        <w:t>2</w:t>
      </w:r>
      <w:r w:rsidRPr="00CF0ECF">
        <w:rPr>
          <w:rFonts w:ascii="Times New Roman" w:hAnsi="Times New Roman"/>
          <w:bCs/>
          <w:sz w:val="20"/>
          <w:szCs w:val="20"/>
        </w:rPr>
        <w:t>O</w:t>
      </w:r>
      <w:r w:rsidRPr="00CF0ECF">
        <w:rPr>
          <w:rFonts w:ascii="Times New Roman" w:hAnsi="Times New Roman"/>
          <w:bCs/>
          <w:sz w:val="20"/>
          <w:szCs w:val="20"/>
          <w:vertAlign w:val="subscript"/>
        </w:rPr>
        <w:t>3</w:t>
      </w:r>
      <w:r w:rsidRPr="00CF0ECF">
        <w:rPr>
          <w:rFonts w:ascii="Times New Roman" w:hAnsi="Times New Roman"/>
          <w:bCs/>
          <w:sz w:val="20"/>
          <w:szCs w:val="20"/>
        </w:rPr>
        <w:t xml:space="preserve"> slag system, </w:t>
      </w:r>
      <w:r w:rsidRPr="00CF0ECF">
        <w:rPr>
          <w:rFonts w:ascii="Times New Roman" w:hAnsi="Times New Roman"/>
          <w:i/>
          <w:iCs/>
          <w:sz w:val="20"/>
          <w:szCs w:val="20"/>
        </w:rPr>
        <w:t>Trans. Nonferrous Met. Soc. China</w:t>
      </w:r>
      <w:r w:rsidRPr="00CF0ECF">
        <w:rPr>
          <w:rFonts w:ascii="Times New Roman" w:hAnsi="Times New Roman"/>
          <w:bCs/>
          <w:sz w:val="20"/>
          <w:szCs w:val="20"/>
        </w:rPr>
        <w:t>, 27(2017), p. 450.</w:t>
      </w:r>
    </w:p>
    <w:p w14:paraId="5CC5D00C" w14:textId="77777777" w:rsidR="00EB14FD" w:rsidRPr="00962D4B" w:rsidRDefault="00EB14FD"/>
    <w:sectPr w:rsidR="00EB14FD" w:rsidRPr="00962D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FCE9" w14:textId="77777777" w:rsidR="00FB64CB" w:rsidRDefault="00FB64CB" w:rsidP="00962D4B">
      <w:r>
        <w:separator/>
      </w:r>
    </w:p>
  </w:endnote>
  <w:endnote w:type="continuationSeparator" w:id="0">
    <w:p w14:paraId="7EFBFB50" w14:textId="77777777" w:rsidR="00FB64CB" w:rsidRDefault="00FB64CB" w:rsidP="0096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2702" w14:textId="77777777" w:rsidR="00FB64CB" w:rsidRDefault="00FB64CB" w:rsidP="00962D4B">
      <w:r>
        <w:separator/>
      </w:r>
    </w:p>
  </w:footnote>
  <w:footnote w:type="continuationSeparator" w:id="0">
    <w:p w14:paraId="10528523" w14:textId="77777777" w:rsidR="00FB64CB" w:rsidRDefault="00FB64CB" w:rsidP="00962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NjNmUwMzZiMWU0NzRiNjY1NDBmMGU3OGU1NjU0NGQifQ=="/>
  </w:docVars>
  <w:rsids>
    <w:rsidRoot w:val="006F197E"/>
    <w:rsid w:val="00055C4F"/>
    <w:rsid w:val="00231198"/>
    <w:rsid w:val="0027633C"/>
    <w:rsid w:val="00286A2F"/>
    <w:rsid w:val="005A2349"/>
    <w:rsid w:val="005B0CF9"/>
    <w:rsid w:val="006F197E"/>
    <w:rsid w:val="00846112"/>
    <w:rsid w:val="00962D4B"/>
    <w:rsid w:val="009812FA"/>
    <w:rsid w:val="00993BB0"/>
    <w:rsid w:val="00B81D9C"/>
    <w:rsid w:val="00BF32EB"/>
    <w:rsid w:val="00CE34B5"/>
    <w:rsid w:val="00CF0ECF"/>
    <w:rsid w:val="00D715CF"/>
    <w:rsid w:val="00EB14FD"/>
    <w:rsid w:val="00FB64CB"/>
    <w:rsid w:val="03DC29BC"/>
    <w:rsid w:val="09DB04E1"/>
    <w:rsid w:val="2AA27DD3"/>
    <w:rsid w:val="2F4C1359"/>
    <w:rsid w:val="4DBE4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F827"/>
  <w15:docId w15:val="{EE2EC2A7-7D46-4285-8597-F591E8D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宋体" w:hAnsi="等线"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rFonts w:asciiTheme="minorHAnsi" w:eastAsiaTheme="minorEastAsia" w:hAnsiTheme="minorHAnsi" w:cstheme="minorBidi"/>
      <w:sz w:val="20"/>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pPr>
      <w:jc w:val="left"/>
    </w:pPr>
    <w:rPr>
      <w:rFonts w:ascii="等线" w:eastAsia="宋体" w:hAnsi="等线" w:cs="Times New Roman"/>
      <w:b/>
      <w:bCs/>
      <w:sz w:val="21"/>
      <w:szCs w:val="21"/>
    </w:rPr>
  </w:style>
  <w:style w:type="table" w:styleId="ab">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16"/>
      <w:szCs w:val="16"/>
    </w:rPr>
  </w:style>
  <w:style w:type="character" w:customStyle="1" w:styleId="a4">
    <w:name w:val="批注文字 字符"/>
    <w:basedOn w:val="a0"/>
    <w:link w:val="a3"/>
    <w:uiPriority w:val="99"/>
    <w:semiHidden/>
    <w:qFormat/>
    <w:rPr>
      <w:sz w:val="20"/>
      <w:szCs w:val="20"/>
    </w:rPr>
  </w:style>
  <w:style w:type="table" w:customStyle="1" w:styleId="1">
    <w:name w:val="网格型1"/>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英文作者单位"/>
    <w:basedOn w:val="a"/>
    <w:qFormat/>
    <w:pPr>
      <w:widowControl/>
      <w:spacing w:before="100" w:beforeAutospacing="1"/>
    </w:pPr>
    <w:rPr>
      <w:rFonts w:ascii="Times New Roman" w:hAnsi="Times New Roman"/>
      <w:sz w:val="18"/>
      <w:szCs w:val="18"/>
    </w:rPr>
  </w:style>
  <w:style w:type="character" w:customStyle="1" w:styleId="aa">
    <w:name w:val="批注主题 字符"/>
    <w:basedOn w:val="a4"/>
    <w:link w:val="a9"/>
    <w:uiPriority w:val="99"/>
    <w:semiHidden/>
    <w:qFormat/>
    <w:rPr>
      <w:rFonts w:ascii="等线" w:eastAsia="宋体" w:hAnsi="等线" w:cs="Times New Roman"/>
      <w:b/>
      <w:bCs/>
      <w:sz w:val="20"/>
      <w:szCs w:val="21"/>
    </w:rPr>
  </w:style>
  <w:style w:type="character" w:customStyle="1" w:styleId="a8">
    <w:name w:val="页眉 字符"/>
    <w:basedOn w:val="a0"/>
    <w:link w:val="a7"/>
    <w:uiPriority w:val="99"/>
    <w:qFormat/>
    <w:rPr>
      <w:rFonts w:ascii="等线" w:eastAsia="宋体" w:hAnsi="等线" w:cs="Times New Roman"/>
      <w:sz w:val="18"/>
      <w:szCs w:val="18"/>
    </w:rPr>
  </w:style>
  <w:style w:type="character" w:customStyle="1" w:styleId="a6">
    <w:name w:val="页脚 字符"/>
    <w:basedOn w:val="a0"/>
    <w:link w:val="a5"/>
    <w:uiPriority w:val="99"/>
    <w:qFormat/>
    <w:rPr>
      <w:rFonts w:ascii="等线" w:eastAsia="宋体" w:hAnsi="等线" w:cs="Times New Roman"/>
      <w:sz w:val="18"/>
      <w:szCs w:val="18"/>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冬华</dc:creator>
  <cp:lastModifiedBy>黄 冬华</cp:lastModifiedBy>
  <cp:revision>8</cp:revision>
  <dcterms:created xsi:type="dcterms:W3CDTF">2022-06-24T12:38:00Z</dcterms:created>
  <dcterms:modified xsi:type="dcterms:W3CDTF">2022-07-07T02:08:00Z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29DEFB98D91D4F8480246333669B70DE</vt:lpwstr>
  </property>
</Properties>
</file>