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2168" w14:textId="77777777" w:rsidR="009D0CA5" w:rsidRDefault="009D0CA5" w:rsidP="009D0CA5">
      <w:pPr>
        <w:adjustRightInd w:val="0"/>
        <w:snapToGrid w:val="0"/>
        <w:spacing w:line="480" w:lineRule="auto"/>
        <w:jc w:val="center"/>
        <w:outlineLvl w:val="0"/>
        <w:rPr>
          <w:rFonts w:ascii="Times New Roman" w:hAnsi="Times New Roman"/>
          <w:b/>
          <w:color w:val="000000" w:themeColor="text1"/>
          <w:sz w:val="48"/>
          <w:szCs w:val="48"/>
        </w:rPr>
      </w:pPr>
      <w:bookmarkStart w:id="0" w:name="OLE_LINK31"/>
      <w:bookmarkStart w:id="1" w:name="OLE_LINK35"/>
      <w:bookmarkStart w:id="2" w:name="OLE_LINK168"/>
      <w:bookmarkStart w:id="3" w:name="OLE_LINK167"/>
      <w:r>
        <w:rPr>
          <w:rFonts w:ascii="Times New Roman" w:hAnsi="Times New Roman"/>
          <w:b/>
          <w:color w:val="000000" w:themeColor="text1"/>
          <w:sz w:val="48"/>
          <w:szCs w:val="48"/>
        </w:rPr>
        <w:t>Supplementary Information</w:t>
      </w:r>
    </w:p>
    <w:bookmarkEnd w:id="0"/>
    <w:bookmarkEnd w:id="1"/>
    <w:p w14:paraId="00B86B0D" w14:textId="77777777" w:rsidR="009D0CA5" w:rsidRPr="00896A0D" w:rsidRDefault="009D0CA5" w:rsidP="009D0CA5">
      <w:pPr>
        <w:widowControl/>
        <w:adjustRightInd w:val="0"/>
        <w:snapToGrid w:val="0"/>
        <w:spacing w:line="480" w:lineRule="auto"/>
        <w:jc w:val="center"/>
        <w:rPr>
          <w:rFonts w:ascii="Times New Roman" w:hAnsi="Times New Roman"/>
          <w:b/>
          <w:color w:val="000000" w:themeColor="text1"/>
          <w:sz w:val="36"/>
          <w:szCs w:val="36"/>
        </w:rPr>
      </w:pPr>
      <w:r w:rsidRPr="00896A0D">
        <w:rPr>
          <w:rFonts w:ascii="Times New Roman" w:hAnsi="Times New Roman"/>
          <w:b/>
          <w:color w:val="000000" w:themeColor="text1"/>
          <w:sz w:val="36"/>
          <w:szCs w:val="36"/>
        </w:rPr>
        <w:t>Enhanced properties of stone coal-based composite phase change materials for thermal energy storage</w:t>
      </w:r>
    </w:p>
    <w:p w14:paraId="17FDAC14" w14:textId="72633A9D" w:rsidR="00531C3D" w:rsidRPr="00531C3D" w:rsidRDefault="009D0CA5" w:rsidP="00531C3D">
      <w:pPr>
        <w:pStyle w:val="paper"/>
        <w:adjustRightInd w:val="0"/>
        <w:snapToGrid w:val="0"/>
        <w:spacing w:line="480" w:lineRule="auto"/>
        <w:jc w:val="center"/>
        <w:rPr>
          <w:iCs/>
          <w:szCs w:val="21"/>
        </w:rPr>
      </w:pPr>
      <w:r w:rsidRPr="008F60D5">
        <w:rPr>
          <w:rFonts w:hint="eastAsia"/>
          <w:i/>
          <w:color w:val="000000"/>
        </w:rPr>
        <w:t>Baoshan Xie</w:t>
      </w:r>
      <w:r w:rsidR="00531C3D" w:rsidRPr="00531C3D">
        <w:rPr>
          <w:color w:val="000000"/>
          <w:vertAlign w:val="superscript"/>
        </w:rPr>
        <w:t>1,2)</w:t>
      </w:r>
      <w:r w:rsidRPr="00896A0D">
        <w:rPr>
          <w:rFonts w:hint="eastAsia"/>
          <w:color w:val="000000"/>
        </w:rPr>
        <w:t>,</w:t>
      </w:r>
      <w:r w:rsidRPr="00896A0D">
        <w:rPr>
          <w:color w:val="000000"/>
        </w:rPr>
        <w:t xml:space="preserve"> </w:t>
      </w:r>
      <w:r w:rsidRPr="008F60D5">
        <w:rPr>
          <w:i/>
          <w:color w:val="000000"/>
        </w:rPr>
        <w:t>Huan Ma</w:t>
      </w:r>
      <w:r w:rsidR="00531C3D" w:rsidRPr="00531C3D">
        <w:rPr>
          <w:color w:val="000000"/>
          <w:vertAlign w:val="superscript"/>
        </w:rPr>
        <w:t>1</w:t>
      </w:r>
      <w:r w:rsidR="00531C3D">
        <w:rPr>
          <w:color w:val="000000"/>
          <w:vertAlign w:val="superscript"/>
        </w:rPr>
        <w:t>)</w:t>
      </w:r>
      <w:r w:rsidRPr="00896A0D">
        <w:rPr>
          <w:color w:val="000000"/>
        </w:rPr>
        <w:t xml:space="preserve">, </w:t>
      </w:r>
      <w:r w:rsidRPr="008F60D5">
        <w:rPr>
          <w:i/>
          <w:color w:val="000000"/>
        </w:rPr>
        <w:t>Chuanchang Li</w:t>
      </w:r>
      <w:r w:rsidR="00531C3D" w:rsidRPr="00531C3D">
        <w:rPr>
          <w:color w:val="000000"/>
          <w:vertAlign w:val="superscript"/>
        </w:rPr>
        <w:t>1,2)</w:t>
      </w:r>
      <w:r w:rsidR="00531C3D">
        <w:rPr>
          <w:color w:val="000000"/>
          <w:vertAlign w:val="superscript"/>
        </w:rPr>
        <w:t>,</w:t>
      </w:r>
      <w:r w:rsidRPr="008F60D5">
        <w:rPr>
          <w:iCs/>
          <w:szCs w:val="21"/>
          <w:vertAlign w:val="superscript"/>
        </w:rPr>
        <w:sym w:font="Wingdings" w:char="F02A"/>
      </w:r>
      <w:r w:rsidRPr="00896A0D">
        <w:rPr>
          <w:rFonts w:hint="eastAsia"/>
          <w:color w:val="000000"/>
        </w:rPr>
        <w:t xml:space="preserve">, </w:t>
      </w:r>
      <w:r w:rsidRPr="008F60D5">
        <w:rPr>
          <w:rFonts w:hint="eastAsia"/>
          <w:i/>
          <w:color w:val="000000"/>
        </w:rPr>
        <w:t>and</w:t>
      </w:r>
      <w:r w:rsidRPr="008F60D5">
        <w:rPr>
          <w:i/>
          <w:color w:val="000000"/>
        </w:rPr>
        <w:t xml:space="preserve"> </w:t>
      </w:r>
      <w:r w:rsidRPr="008F60D5">
        <w:rPr>
          <w:rFonts w:hint="eastAsia"/>
          <w:i/>
          <w:color w:val="000000"/>
        </w:rPr>
        <w:t>Jian Chen</w:t>
      </w:r>
      <w:r w:rsidR="00531C3D" w:rsidRPr="00531C3D">
        <w:rPr>
          <w:color w:val="000000"/>
          <w:vertAlign w:val="superscript"/>
        </w:rPr>
        <w:t>1,2)</w:t>
      </w:r>
    </w:p>
    <w:p w14:paraId="5D9B2D70" w14:textId="51D2420E" w:rsidR="00531C3D" w:rsidRPr="00531C3D" w:rsidRDefault="00531C3D" w:rsidP="00531C3D">
      <w:pPr>
        <w:adjustRightInd w:val="0"/>
        <w:snapToGrid w:val="0"/>
        <w:spacing w:line="480" w:lineRule="auto"/>
        <w:jc w:val="left"/>
        <w:rPr>
          <w:rFonts w:ascii="Times New Roman" w:hAnsi="Times New Roman"/>
          <w:iCs/>
          <w:kern w:val="0"/>
          <w:szCs w:val="21"/>
        </w:rPr>
      </w:pPr>
      <w:r w:rsidRPr="00531C3D">
        <w:rPr>
          <w:rFonts w:ascii="Times New Roman" w:hAnsi="Times New Roman"/>
          <w:iCs/>
          <w:kern w:val="0"/>
          <w:szCs w:val="21"/>
        </w:rPr>
        <w:t>1) Key Laboratory of Renewable Energy Electric-Technology of Hunan Province, School of Energy and Power Engineering, Cha</w:t>
      </w:r>
      <w:r>
        <w:rPr>
          <w:rFonts w:ascii="Times New Roman" w:hAnsi="Times New Roman"/>
          <w:iCs/>
          <w:kern w:val="0"/>
          <w:szCs w:val="21"/>
        </w:rPr>
        <w:t>ngsha University of Science and</w:t>
      </w:r>
      <w:r>
        <w:rPr>
          <w:rFonts w:ascii="Times New Roman" w:hAnsi="Times New Roman" w:hint="eastAsia"/>
          <w:iCs/>
          <w:kern w:val="0"/>
          <w:szCs w:val="21"/>
        </w:rPr>
        <w:t xml:space="preserve"> </w:t>
      </w:r>
      <w:r w:rsidRPr="00531C3D">
        <w:rPr>
          <w:rFonts w:ascii="Times New Roman" w:hAnsi="Times New Roman"/>
          <w:iCs/>
          <w:kern w:val="0"/>
          <w:szCs w:val="21"/>
        </w:rPr>
        <w:t>Technology, Changsha 410114, China</w:t>
      </w:r>
    </w:p>
    <w:p w14:paraId="7216181A" w14:textId="77777777" w:rsidR="00531C3D" w:rsidRPr="00531C3D" w:rsidRDefault="00531C3D" w:rsidP="00531C3D">
      <w:pPr>
        <w:adjustRightInd w:val="0"/>
        <w:snapToGrid w:val="0"/>
        <w:spacing w:line="480" w:lineRule="auto"/>
        <w:jc w:val="left"/>
        <w:rPr>
          <w:rFonts w:ascii="Times New Roman" w:hAnsi="Times New Roman"/>
          <w:iCs/>
          <w:kern w:val="0"/>
          <w:szCs w:val="21"/>
        </w:rPr>
      </w:pPr>
      <w:r w:rsidRPr="00531C3D">
        <w:rPr>
          <w:rFonts w:ascii="Times New Roman" w:hAnsi="Times New Roman"/>
          <w:iCs/>
          <w:kern w:val="0"/>
          <w:szCs w:val="21"/>
        </w:rPr>
        <w:t>2) State Key Laboratory of Disaster Prevention and Reduction for Power Grid, Changsha University of Science and Technology, Changsha 410114, China</w:t>
      </w:r>
    </w:p>
    <w:p w14:paraId="246E09EA" w14:textId="77777777" w:rsidR="009D0CA5" w:rsidRPr="00266A9F" w:rsidRDefault="009D0CA5" w:rsidP="009D0CA5">
      <w:pPr>
        <w:adjustRightInd w:val="0"/>
        <w:snapToGrid w:val="0"/>
        <w:spacing w:line="480" w:lineRule="auto"/>
        <w:jc w:val="left"/>
        <w:rPr>
          <w:rFonts w:ascii="Times New Roman" w:hAnsi="Times New Roman"/>
          <w:kern w:val="0"/>
          <w:szCs w:val="21"/>
          <w:lang w:val="pt-BR"/>
        </w:rPr>
      </w:pPr>
      <w:r w:rsidRPr="00266A9F">
        <w:rPr>
          <w:rFonts w:ascii="Times New Roman" w:hAnsi="Times New Roman"/>
          <w:iCs/>
          <w:kern w:val="0"/>
          <w:szCs w:val="21"/>
        </w:rPr>
        <w:sym w:font="Wingdings" w:char="F02A"/>
      </w:r>
      <w:r w:rsidRPr="00266A9F">
        <w:rPr>
          <w:rFonts w:ascii="Times New Roman" w:hAnsi="Times New Roman"/>
          <w:iCs/>
          <w:kern w:val="0"/>
          <w:szCs w:val="21"/>
        </w:rPr>
        <w:t xml:space="preserve"> Corresponding author: Chuanchang Li         E-mail: ch</w:t>
      </w:r>
      <w:r w:rsidRPr="00266A9F">
        <w:rPr>
          <w:rFonts w:ascii="Times New Roman" w:hAnsi="Times New Roman"/>
          <w:kern w:val="0"/>
          <w:szCs w:val="21"/>
          <w:lang w:val="pt-BR"/>
        </w:rPr>
        <w:t>uanchangli@126.com</w:t>
      </w:r>
    </w:p>
    <w:p w14:paraId="73132F41" w14:textId="77777777" w:rsidR="00794622" w:rsidRDefault="00794622" w:rsidP="000C7EA7">
      <w:pPr>
        <w:widowControl/>
        <w:adjustRightInd w:val="0"/>
        <w:snapToGrid w:val="0"/>
        <w:spacing w:line="480" w:lineRule="auto"/>
        <w:jc w:val="center"/>
        <w:rPr>
          <w:rFonts w:ascii="Times New Roman" w:hAnsi="Times New Roman"/>
          <w:b/>
          <w:color w:val="000000" w:themeColor="text1"/>
          <w:sz w:val="36"/>
          <w:szCs w:val="36"/>
        </w:rPr>
      </w:pPr>
      <w:bookmarkStart w:id="4" w:name="_GoBack"/>
      <w:bookmarkEnd w:id="4"/>
    </w:p>
    <w:bookmarkEnd w:id="2"/>
    <w:bookmarkEnd w:id="3"/>
    <w:p w14:paraId="7CB90897" w14:textId="77777777" w:rsidR="00BA4030" w:rsidRDefault="00BA4030" w:rsidP="000C7EA7">
      <w:pPr>
        <w:adjustRightInd w:val="0"/>
        <w:snapToGrid w:val="0"/>
        <w:rPr>
          <w:rFonts w:ascii="Times New Roman" w:hAnsi="Times New Roman"/>
          <w:color w:val="000000" w:themeColor="text1"/>
        </w:rPr>
      </w:pPr>
    </w:p>
    <w:p w14:paraId="3FD104E3" w14:textId="1C9B1317" w:rsidR="00BA4030" w:rsidRPr="00172B79" w:rsidRDefault="0019331E" w:rsidP="00172B79">
      <w:pPr>
        <w:keepNext/>
        <w:keepLines/>
        <w:adjustRightInd w:val="0"/>
        <w:snapToGrid w:val="0"/>
        <w:spacing w:line="480" w:lineRule="auto"/>
        <w:outlineLvl w:val="1"/>
        <w:rPr>
          <w:rFonts w:ascii="Times New Roman" w:hAnsi="Times New Roman"/>
          <w:b/>
          <w:bCs/>
          <w:color w:val="000000" w:themeColor="text1"/>
          <w:sz w:val="24"/>
          <w:szCs w:val="24"/>
        </w:rPr>
      </w:pPr>
      <w:r>
        <w:rPr>
          <w:rFonts w:ascii="Times New Roman" w:hAnsi="Times New Roman"/>
          <w:b/>
          <w:bCs/>
          <w:color w:val="000000" w:themeColor="text1"/>
          <w:sz w:val="24"/>
          <w:szCs w:val="24"/>
        </w:rPr>
        <w:t>Effect of roasting and acid leaching on crystal structure</w:t>
      </w:r>
    </w:p>
    <w:p w14:paraId="50B53EBF" w14:textId="63069303" w:rsidR="00BA4030" w:rsidRDefault="00FF023E">
      <w:pPr>
        <w:widowControl/>
        <w:adjustRightInd w:val="0"/>
        <w:snapToGrid w:val="0"/>
        <w:spacing w:line="480" w:lineRule="auto"/>
        <w:ind w:firstLineChars="200" w:firstLine="480"/>
        <w:rPr>
          <w:rFonts w:ascii="Times New Roman" w:hAnsi="Times New Roman"/>
          <w:color w:val="000000" w:themeColor="text1"/>
          <w:kern w:val="0"/>
          <w:sz w:val="24"/>
          <w:szCs w:val="24"/>
        </w:rPr>
      </w:pPr>
      <w:r>
        <w:rPr>
          <w:rFonts w:ascii="Times New Roman" w:hAnsi="Times New Roman"/>
          <w:color w:val="0000FF"/>
          <w:kern w:val="0"/>
          <w:sz w:val="24"/>
          <w:szCs w:val="24"/>
        </w:rPr>
        <w:t xml:space="preserve">Fig. </w:t>
      </w:r>
      <w:r>
        <w:rPr>
          <w:rFonts w:ascii="Times New Roman" w:hAnsi="Times New Roman" w:hint="eastAsia"/>
          <w:color w:val="0000FF"/>
          <w:kern w:val="0"/>
          <w:sz w:val="24"/>
          <w:szCs w:val="24"/>
        </w:rPr>
        <w:t>S</w:t>
      </w:r>
      <w:r>
        <w:rPr>
          <w:rFonts w:ascii="Times New Roman" w:hAnsi="Times New Roman"/>
          <w:color w:val="0000FF"/>
          <w:kern w:val="0"/>
          <w:sz w:val="24"/>
          <w:szCs w:val="24"/>
        </w:rPr>
        <w:t>1(a)</w:t>
      </w:r>
      <w:r w:rsidR="00172B79">
        <w:rPr>
          <w:rFonts w:ascii="Times New Roman" w:hAnsi="Times New Roman"/>
          <w:color w:val="000000" w:themeColor="text1"/>
          <w:kern w:val="0"/>
          <w:sz w:val="24"/>
          <w:szCs w:val="24"/>
        </w:rPr>
        <w:t xml:space="preserve"> is the XRD pattern</w:t>
      </w:r>
      <w:r w:rsidR="00211962">
        <w:rPr>
          <w:rFonts w:ascii="Times New Roman" w:hAnsi="Times New Roman"/>
          <w:color w:val="000000" w:themeColor="text1"/>
          <w:kern w:val="0"/>
          <w:sz w:val="24"/>
          <w:szCs w:val="24"/>
        </w:rPr>
        <w:t>s</w:t>
      </w:r>
      <w:r w:rsidR="00172B79">
        <w:rPr>
          <w:rFonts w:ascii="Times New Roman" w:hAnsi="Times New Roman"/>
          <w:color w:val="000000" w:themeColor="text1"/>
          <w:kern w:val="0"/>
          <w:sz w:val="24"/>
          <w:szCs w:val="24"/>
        </w:rPr>
        <w:t xml:space="preserve"> of the SCs matrix materials under different roasting temperatures and times</w:t>
      </w:r>
      <w:r w:rsidR="00F65B3D">
        <w:rPr>
          <w:rFonts w:ascii="Times New Roman" w:hAnsi="Times New Roman"/>
          <w:color w:val="000000" w:themeColor="text1"/>
          <w:kern w:val="0"/>
          <w:sz w:val="24"/>
          <w:szCs w:val="24"/>
        </w:rPr>
        <w:t xml:space="preserve"> before leaching</w:t>
      </w:r>
      <w:r w:rsidR="00172B79">
        <w:rPr>
          <w:rFonts w:ascii="Times New Roman" w:hAnsi="Times New Roman"/>
          <w:color w:val="000000" w:themeColor="text1"/>
          <w:kern w:val="0"/>
          <w:sz w:val="24"/>
          <w:szCs w:val="24"/>
        </w:rPr>
        <w:t xml:space="preserve">. </w:t>
      </w:r>
      <w:r>
        <w:rPr>
          <w:rFonts w:ascii="Times New Roman" w:hAnsi="Times New Roman"/>
          <w:color w:val="0000FF"/>
          <w:kern w:val="0"/>
          <w:sz w:val="24"/>
          <w:szCs w:val="24"/>
        </w:rPr>
        <w:t xml:space="preserve">Fig. </w:t>
      </w:r>
      <w:r>
        <w:rPr>
          <w:rFonts w:ascii="Times New Roman" w:hAnsi="Times New Roman" w:hint="eastAsia"/>
          <w:color w:val="0000FF"/>
          <w:kern w:val="0"/>
          <w:sz w:val="24"/>
          <w:szCs w:val="24"/>
        </w:rPr>
        <w:t>S</w:t>
      </w:r>
      <w:r>
        <w:rPr>
          <w:rFonts w:ascii="Times New Roman" w:hAnsi="Times New Roman"/>
          <w:color w:val="0000FF"/>
          <w:kern w:val="0"/>
          <w:sz w:val="24"/>
          <w:szCs w:val="24"/>
        </w:rPr>
        <w:t>1</w:t>
      </w:r>
      <w:r>
        <w:rPr>
          <w:rFonts w:ascii="Times New Roman" w:hAnsi="Times New Roman" w:hint="eastAsia"/>
          <w:color w:val="0000FF"/>
          <w:kern w:val="0"/>
          <w:sz w:val="24"/>
          <w:szCs w:val="24"/>
        </w:rPr>
        <w:t>(</w:t>
      </w:r>
      <w:r>
        <w:rPr>
          <w:rFonts w:ascii="Times New Roman" w:hAnsi="Times New Roman"/>
          <w:color w:val="0000FF"/>
          <w:kern w:val="0"/>
          <w:sz w:val="24"/>
          <w:szCs w:val="24"/>
        </w:rPr>
        <w:t>b)</w:t>
      </w:r>
      <w:r w:rsidR="00F65B3D">
        <w:rPr>
          <w:rFonts w:ascii="Times New Roman" w:hAnsi="Times New Roman"/>
          <w:color w:val="000000" w:themeColor="text1"/>
          <w:kern w:val="0"/>
          <w:sz w:val="24"/>
          <w:szCs w:val="24"/>
        </w:rPr>
        <w:t xml:space="preserve"> is the </w:t>
      </w:r>
      <w:r w:rsidR="00211962">
        <w:rPr>
          <w:rFonts w:ascii="Times New Roman" w:hAnsi="Times New Roman"/>
          <w:color w:val="000000" w:themeColor="text1"/>
          <w:kern w:val="0"/>
          <w:sz w:val="24"/>
          <w:szCs w:val="24"/>
        </w:rPr>
        <w:t xml:space="preserve">corresponding </w:t>
      </w:r>
      <w:r w:rsidR="00F65B3D">
        <w:rPr>
          <w:rFonts w:ascii="Times New Roman" w:hAnsi="Times New Roman"/>
          <w:color w:val="000000" w:themeColor="text1"/>
          <w:kern w:val="0"/>
          <w:sz w:val="24"/>
          <w:szCs w:val="24"/>
        </w:rPr>
        <w:t>matrix materials after leaching.</w:t>
      </w:r>
      <w:r w:rsidR="00211962">
        <w:rPr>
          <w:rFonts w:ascii="Times New Roman" w:hAnsi="Times New Roman"/>
          <w:color w:val="000000" w:themeColor="text1"/>
          <w:kern w:val="0"/>
          <w:sz w:val="24"/>
          <w:szCs w:val="24"/>
        </w:rPr>
        <w:t xml:space="preserve"> </w:t>
      </w:r>
      <w:r w:rsidR="00211962" w:rsidRPr="00211962">
        <w:rPr>
          <w:rFonts w:ascii="Times New Roman" w:hAnsi="Times New Roman"/>
          <w:color w:val="000000" w:themeColor="text1"/>
          <w:kern w:val="0"/>
          <w:sz w:val="24"/>
          <w:szCs w:val="24"/>
        </w:rPr>
        <w:t>These XRD patterns are similar for each sample and the intensity of characteristic peaks are not changed so obvious</w:t>
      </w:r>
      <w:r w:rsidR="00211962">
        <w:rPr>
          <w:rFonts w:ascii="Times New Roman" w:hAnsi="Times New Roman"/>
          <w:color w:val="000000" w:themeColor="text1"/>
          <w:kern w:val="0"/>
          <w:sz w:val="24"/>
          <w:szCs w:val="24"/>
        </w:rPr>
        <w:t xml:space="preserve">. It </w:t>
      </w:r>
      <w:r w:rsidR="00561801">
        <w:rPr>
          <w:rFonts w:ascii="Times New Roman" w:hAnsi="Times New Roman"/>
          <w:color w:val="000000" w:themeColor="text1"/>
          <w:kern w:val="0"/>
          <w:sz w:val="24"/>
          <w:szCs w:val="24"/>
        </w:rPr>
        <w:t>indicate</w:t>
      </w:r>
      <w:r w:rsidR="00211962">
        <w:rPr>
          <w:rFonts w:ascii="Times New Roman" w:hAnsi="Times New Roman"/>
          <w:color w:val="000000" w:themeColor="text1"/>
          <w:kern w:val="0"/>
          <w:sz w:val="24"/>
          <w:szCs w:val="24"/>
        </w:rPr>
        <w:t>s</w:t>
      </w:r>
      <w:r w:rsidR="00561801">
        <w:rPr>
          <w:rFonts w:ascii="Times New Roman" w:hAnsi="Times New Roman"/>
          <w:color w:val="000000" w:themeColor="text1"/>
          <w:kern w:val="0"/>
          <w:sz w:val="24"/>
          <w:szCs w:val="24"/>
        </w:rPr>
        <w:t xml:space="preserve"> that different roasting conditions and acid leaching treatment ha</w:t>
      </w:r>
      <w:r w:rsidR="00BA2973">
        <w:rPr>
          <w:rFonts w:ascii="Times New Roman" w:hAnsi="Times New Roman"/>
          <w:color w:val="000000" w:themeColor="text1"/>
          <w:kern w:val="0"/>
          <w:sz w:val="24"/>
          <w:szCs w:val="24"/>
        </w:rPr>
        <w:t>d</w:t>
      </w:r>
      <w:r w:rsidR="00561801">
        <w:rPr>
          <w:rFonts w:ascii="Times New Roman" w:hAnsi="Times New Roman"/>
          <w:color w:val="000000" w:themeColor="text1"/>
          <w:kern w:val="0"/>
          <w:sz w:val="24"/>
          <w:szCs w:val="24"/>
        </w:rPr>
        <w:t xml:space="preserve"> little effect on the </w:t>
      </w:r>
      <w:r w:rsidR="00211962">
        <w:rPr>
          <w:rFonts w:ascii="Times New Roman" w:hAnsi="Times New Roman"/>
          <w:color w:val="000000" w:themeColor="text1"/>
          <w:kern w:val="0"/>
          <w:sz w:val="24"/>
          <w:szCs w:val="24"/>
        </w:rPr>
        <w:t>crystal structure</w:t>
      </w:r>
      <w:r w:rsidR="00561801">
        <w:rPr>
          <w:rFonts w:ascii="Times New Roman" w:hAnsi="Times New Roman"/>
          <w:color w:val="000000" w:themeColor="text1"/>
          <w:kern w:val="0"/>
          <w:sz w:val="24"/>
          <w:szCs w:val="24"/>
        </w:rPr>
        <w:t xml:space="preserve"> of stone coal. Th</w:t>
      </w:r>
      <w:r w:rsidR="00F65B3D">
        <w:rPr>
          <w:rFonts w:ascii="Times New Roman" w:hAnsi="Times New Roman"/>
          <w:color w:val="000000" w:themeColor="text1"/>
          <w:kern w:val="0"/>
          <w:sz w:val="24"/>
          <w:szCs w:val="24"/>
        </w:rPr>
        <w:t xml:space="preserve">at is </w:t>
      </w:r>
      <w:r w:rsidR="00561801">
        <w:rPr>
          <w:rFonts w:ascii="Times New Roman" w:hAnsi="Times New Roman"/>
          <w:color w:val="000000" w:themeColor="text1"/>
          <w:kern w:val="0"/>
          <w:sz w:val="24"/>
          <w:szCs w:val="24"/>
        </w:rPr>
        <w:t xml:space="preserve">because the main peaks in XRD </w:t>
      </w:r>
      <w:r w:rsidR="00BA2973">
        <w:rPr>
          <w:rFonts w:ascii="Times New Roman" w:hAnsi="Times New Roman"/>
          <w:color w:val="000000" w:themeColor="text1"/>
          <w:kern w:val="0"/>
          <w:sz w:val="24"/>
          <w:szCs w:val="24"/>
        </w:rPr>
        <w:t>were</w:t>
      </w:r>
      <w:r w:rsidR="00561801">
        <w:rPr>
          <w:rFonts w:ascii="Times New Roman" w:hAnsi="Times New Roman"/>
          <w:color w:val="000000" w:themeColor="text1"/>
          <w:kern w:val="0"/>
          <w:sz w:val="24"/>
          <w:szCs w:val="24"/>
        </w:rPr>
        <w:t xml:space="preserve"> characteristic peaks of SiO</w:t>
      </w:r>
      <w:r w:rsidR="00561801">
        <w:rPr>
          <w:rFonts w:ascii="Times New Roman" w:hAnsi="Times New Roman"/>
          <w:color w:val="000000" w:themeColor="text1"/>
          <w:kern w:val="0"/>
          <w:sz w:val="24"/>
          <w:szCs w:val="24"/>
          <w:vertAlign w:val="subscript"/>
        </w:rPr>
        <w:t>2</w:t>
      </w:r>
      <w:r w:rsidR="00211962">
        <w:rPr>
          <w:rFonts w:ascii="Times New Roman" w:hAnsi="Times New Roman" w:hint="eastAsia"/>
          <w:color w:val="000000" w:themeColor="text1"/>
          <w:kern w:val="0"/>
          <w:sz w:val="24"/>
          <w:szCs w:val="24"/>
        </w:rPr>
        <w:t>,</w:t>
      </w:r>
      <w:r w:rsidR="00211962">
        <w:rPr>
          <w:rFonts w:ascii="Times New Roman" w:hAnsi="Times New Roman"/>
          <w:color w:val="000000" w:themeColor="text1"/>
          <w:kern w:val="0"/>
          <w:sz w:val="24"/>
          <w:szCs w:val="24"/>
        </w:rPr>
        <w:t xml:space="preserve"> </w:t>
      </w:r>
      <w:r w:rsidR="00561801">
        <w:rPr>
          <w:rFonts w:ascii="Times New Roman" w:hAnsi="Times New Roman"/>
          <w:color w:val="000000" w:themeColor="text1"/>
          <w:kern w:val="0"/>
          <w:sz w:val="24"/>
          <w:szCs w:val="24"/>
        </w:rPr>
        <w:t>and the crystal structure of SiO</w:t>
      </w:r>
      <w:r w:rsidR="00561801">
        <w:rPr>
          <w:rFonts w:ascii="Times New Roman" w:hAnsi="Times New Roman"/>
          <w:color w:val="000000" w:themeColor="text1"/>
          <w:kern w:val="0"/>
          <w:sz w:val="24"/>
          <w:szCs w:val="24"/>
          <w:vertAlign w:val="subscript"/>
        </w:rPr>
        <w:t>2</w:t>
      </w:r>
      <w:r w:rsidR="00561801">
        <w:rPr>
          <w:rFonts w:ascii="Times New Roman" w:hAnsi="Times New Roman"/>
          <w:color w:val="000000" w:themeColor="text1"/>
          <w:kern w:val="0"/>
          <w:sz w:val="24"/>
          <w:szCs w:val="24"/>
        </w:rPr>
        <w:t xml:space="preserve"> in stone coal </w:t>
      </w:r>
      <w:r w:rsidR="0056746D">
        <w:rPr>
          <w:rFonts w:ascii="Times New Roman" w:hAnsi="Times New Roman"/>
          <w:color w:val="000000" w:themeColor="text1"/>
          <w:kern w:val="0"/>
          <w:sz w:val="24"/>
          <w:szCs w:val="24"/>
        </w:rPr>
        <w:t>is difficult to be affected</w:t>
      </w:r>
      <w:r w:rsidR="00FE4847">
        <w:rPr>
          <w:rFonts w:ascii="Times New Roman" w:hAnsi="Times New Roman"/>
          <w:color w:val="000000" w:themeColor="text1"/>
          <w:kern w:val="0"/>
          <w:sz w:val="24"/>
          <w:szCs w:val="24"/>
        </w:rPr>
        <w:t>.</w:t>
      </w:r>
      <w:r w:rsidR="00561801">
        <w:rPr>
          <w:rFonts w:ascii="Times New Roman" w:hAnsi="Times New Roman"/>
          <w:color w:val="000000" w:themeColor="text1"/>
          <w:kern w:val="0"/>
          <w:sz w:val="24"/>
          <w:szCs w:val="24"/>
        </w:rPr>
        <w:t xml:space="preserve"> </w:t>
      </w:r>
    </w:p>
    <w:p w14:paraId="6CCE4999" w14:textId="5D61FBEF" w:rsidR="00843E90" w:rsidRDefault="00843E90" w:rsidP="00355859">
      <w:pPr>
        <w:widowControl/>
        <w:adjustRightInd w:val="0"/>
        <w:snapToGrid w:val="0"/>
        <w:rPr>
          <w:noProof/>
        </w:rPr>
      </w:pPr>
      <w:r w:rsidRPr="00843E90">
        <w:rPr>
          <w:rFonts w:ascii="Times New Roman" w:hAnsi="Times New Roman"/>
          <w:noProof/>
          <w:color w:val="000000" w:themeColor="text1"/>
          <w:kern w:val="0"/>
          <w:sz w:val="24"/>
          <w:szCs w:val="24"/>
        </w:rPr>
        <w:lastRenderedPageBreak/>
        <w:drawing>
          <wp:inline distT="0" distB="0" distL="0" distR="0" wp14:anchorId="59A3C776" wp14:editId="33E9E8CE">
            <wp:extent cx="2630170" cy="2193568"/>
            <wp:effectExtent l="0" t="0" r="0" b="0"/>
            <wp:docPr id="13501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1167" name=""/>
                    <pic:cNvPicPr/>
                  </pic:nvPicPr>
                  <pic:blipFill rotWithShape="1">
                    <a:blip r:embed="rId8"/>
                    <a:srcRect t="1223"/>
                    <a:stretch/>
                  </pic:blipFill>
                  <pic:spPr bwMode="auto">
                    <a:xfrm>
                      <a:off x="0" y="0"/>
                      <a:ext cx="2643759" cy="2204901"/>
                    </a:xfrm>
                    <a:prstGeom prst="rect">
                      <a:avLst/>
                    </a:prstGeom>
                    <a:ln>
                      <a:noFill/>
                    </a:ln>
                    <a:extLst>
                      <a:ext uri="{53640926-AAD7-44D8-BBD7-CCE9431645EC}">
                        <a14:shadowObscured xmlns:a14="http://schemas.microsoft.com/office/drawing/2010/main"/>
                      </a:ext>
                    </a:extLst>
                  </pic:spPr>
                </pic:pic>
              </a:graphicData>
            </a:graphic>
          </wp:inline>
        </w:drawing>
      </w:r>
      <w:r w:rsidRPr="00843E90">
        <w:rPr>
          <w:noProof/>
        </w:rPr>
        <w:t xml:space="preserve"> </w:t>
      </w:r>
      <w:r w:rsidRPr="00843E90">
        <w:rPr>
          <w:rFonts w:ascii="Times New Roman" w:hAnsi="Times New Roman"/>
          <w:noProof/>
          <w:color w:val="000000" w:themeColor="text1"/>
          <w:kern w:val="0"/>
          <w:sz w:val="24"/>
          <w:szCs w:val="24"/>
        </w:rPr>
        <w:drawing>
          <wp:inline distT="0" distB="0" distL="0" distR="0" wp14:anchorId="01B3ABF4" wp14:editId="25155141">
            <wp:extent cx="2607398" cy="2194283"/>
            <wp:effectExtent l="0" t="0" r="2540" b="0"/>
            <wp:docPr id="19999677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67767" name=""/>
                    <pic:cNvPicPr/>
                  </pic:nvPicPr>
                  <pic:blipFill>
                    <a:blip r:embed="rId9"/>
                    <a:stretch>
                      <a:fillRect/>
                    </a:stretch>
                  </pic:blipFill>
                  <pic:spPr>
                    <a:xfrm>
                      <a:off x="0" y="0"/>
                      <a:ext cx="2608449" cy="2195167"/>
                    </a:xfrm>
                    <a:prstGeom prst="rect">
                      <a:avLst/>
                    </a:prstGeom>
                  </pic:spPr>
                </pic:pic>
              </a:graphicData>
            </a:graphic>
          </wp:inline>
        </w:drawing>
      </w:r>
    </w:p>
    <w:p w14:paraId="33810234" w14:textId="78EACD62" w:rsidR="00BA4030" w:rsidRPr="00FF023E" w:rsidRDefault="00561801">
      <w:pPr>
        <w:adjustRightInd w:val="0"/>
        <w:snapToGrid w:val="0"/>
        <w:spacing w:line="480" w:lineRule="auto"/>
        <w:jc w:val="center"/>
        <w:rPr>
          <w:rFonts w:ascii="Times New Roman" w:hAnsi="Times New Roman"/>
          <w:sz w:val="24"/>
          <w:szCs w:val="24"/>
        </w:rPr>
      </w:pPr>
      <w:r w:rsidRPr="00FF023E">
        <w:rPr>
          <w:rFonts w:ascii="Times New Roman" w:hAnsi="Times New Roman"/>
          <w:b/>
          <w:sz w:val="24"/>
          <w:szCs w:val="24"/>
        </w:rPr>
        <w:t xml:space="preserve">Fig. </w:t>
      </w:r>
      <w:r w:rsidRPr="00FF023E">
        <w:rPr>
          <w:rFonts w:ascii="Times New Roman" w:hAnsi="Times New Roman" w:hint="eastAsia"/>
          <w:b/>
          <w:sz w:val="24"/>
          <w:szCs w:val="24"/>
        </w:rPr>
        <w:t>S1</w:t>
      </w:r>
      <w:r w:rsidRPr="00FF023E">
        <w:rPr>
          <w:rFonts w:ascii="Times New Roman" w:hAnsi="Times New Roman"/>
          <w:sz w:val="24"/>
          <w:szCs w:val="24"/>
        </w:rPr>
        <w:t xml:space="preserve">. </w:t>
      </w:r>
      <w:r w:rsidR="00126C0F" w:rsidRPr="00FF023E">
        <w:rPr>
          <w:rFonts w:ascii="Times New Roman" w:hAnsi="Times New Roman"/>
          <w:sz w:val="24"/>
          <w:szCs w:val="24"/>
        </w:rPr>
        <w:t xml:space="preserve"> </w:t>
      </w:r>
      <w:r w:rsidRPr="00FF023E">
        <w:rPr>
          <w:rFonts w:ascii="Times New Roman" w:hAnsi="Times New Roman"/>
          <w:sz w:val="24"/>
          <w:szCs w:val="24"/>
        </w:rPr>
        <w:t xml:space="preserve">XRD patterns of (a) </w:t>
      </w:r>
      <w:r w:rsidRPr="00FF023E">
        <w:rPr>
          <w:rFonts w:ascii="Times New Roman" w:hAnsi="Times New Roman"/>
          <w:sz w:val="24"/>
          <w:szCs w:val="24"/>
          <w:shd w:val="clear" w:color="auto" w:fill="FFFFFF"/>
        </w:rPr>
        <w:t xml:space="preserve">SC under different </w:t>
      </w:r>
      <w:r w:rsidR="007C695D" w:rsidRPr="00FF023E">
        <w:rPr>
          <w:rFonts w:ascii="Times New Roman" w:hAnsi="Times New Roman"/>
          <w:sz w:val="24"/>
          <w:szCs w:val="24"/>
          <w:shd w:val="clear" w:color="auto" w:fill="FFFFFF"/>
        </w:rPr>
        <w:t>roasted temperatures and times before acid leaching</w:t>
      </w:r>
      <w:r w:rsidRPr="00FF023E">
        <w:rPr>
          <w:rFonts w:ascii="Times New Roman" w:hAnsi="Times New Roman"/>
          <w:sz w:val="24"/>
          <w:szCs w:val="24"/>
        </w:rPr>
        <w:t>; (b)</w:t>
      </w:r>
      <w:r w:rsidRPr="00FF023E">
        <w:rPr>
          <w:rFonts w:ascii="Times New Roman" w:hAnsi="Times New Roman"/>
          <w:sz w:val="24"/>
          <w:szCs w:val="24"/>
          <w:shd w:val="clear" w:color="auto" w:fill="FFFFFF"/>
        </w:rPr>
        <w:t xml:space="preserve"> </w:t>
      </w:r>
      <w:r w:rsidR="007C695D" w:rsidRPr="00FF023E">
        <w:rPr>
          <w:rFonts w:ascii="Times New Roman" w:hAnsi="Times New Roman"/>
          <w:sz w:val="24"/>
          <w:szCs w:val="24"/>
          <w:shd w:val="clear" w:color="auto" w:fill="FFFFFF"/>
        </w:rPr>
        <w:t xml:space="preserve">roasted </w:t>
      </w:r>
      <w:r w:rsidRPr="00FF023E">
        <w:rPr>
          <w:rFonts w:ascii="Times New Roman" w:hAnsi="Times New Roman"/>
          <w:sz w:val="24"/>
          <w:szCs w:val="24"/>
          <w:shd w:val="clear" w:color="auto" w:fill="FFFFFF"/>
        </w:rPr>
        <w:t xml:space="preserve">SC after </w:t>
      </w:r>
      <w:r w:rsidR="007C695D" w:rsidRPr="00FF023E">
        <w:rPr>
          <w:rFonts w:ascii="Times New Roman" w:hAnsi="Times New Roman"/>
          <w:sz w:val="24"/>
          <w:szCs w:val="24"/>
          <w:shd w:val="clear" w:color="auto" w:fill="FFFFFF"/>
        </w:rPr>
        <w:t>acid leaching</w:t>
      </w:r>
      <w:r w:rsidR="00E4324A" w:rsidRPr="00FF023E">
        <w:rPr>
          <w:rFonts w:ascii="Times New Roman" w:hAnsi="Times New Roman"/>
          <w:sz w:val="24"/>
          <w:szCs w:val="24"/>
          <w:shd w:val="clear" w:color="auto" w:fill="FFFFFF"/>
        </w:rPr>
        <w:t>.</w:t>
      </w:r>
      <w:r w:rsidR="003341C9" w:rsidRPr="00FF023E">
        <w:rPr>
          <w:rFonts w:ascii="Times New Roman" w:hAnsi="Times New Roman"/>
          <w:sz w:val="24"/>
          <w:szCs w:val="24"/>
          <w:shd w:val="clear" w:color="auto" w:fill="FFFFFF"/>
        </w:rPr>
        <w:t xml:space="preserve"> </w:t>
      </w:r>
    </w:p>
    <w:p w14:paraId="773E4F11" w14:textId="1D49D344" w:rsidR="00BA4030" w:rsidRDefault="00FF023E" w:rsidP="001C2C0F">
      <w:pPr>
        <w:widowControl/>
        <w:adjustRightInd w:val="0"/>
        <w:snapToGrid w:val="0"/>
        <w:spacing w:line="480" w:lineRule="auto"/>
        <w:ind w:firstLineChars="200" w:firstLine="480"/>
        <w:rPr>
          <w:rFonts w:ascii="Times New Roman" w:hAnsi="Times New Roman"/>
          <w:color w:val="000000" w:themeColor="text1"/>
          <w:kern w:val="0"/>
          <w:sz w:val="24"/>
          <w:szCs w:val="24"/>
        </w:rPr>
      </w:pPr>
      <w:r>
        <w:rPr>
          <w:rFonts w:ascii="Times New Roman" w:hAnsi="Times New Roman"/>
          <w:color w:val="0000FF"/>
          <w:kern w:val="0"/>
          <w:sz w:val="24"/>
          <w:szCs w:val="24"/>
        </w:rPr>
        <w:t xml:space="preserve">Fig. </w:t>
      </w:r>
      <w:r>
        <w:rPr>
          <w:rFonts w:ascii="Times New Roman" w:hAnsi="Times New Roman" w:hint="eastAsia"/>
          <w:color w:val="0000FF"/>
          <w:kern w:val="0"/>
          <w:sz w:val="24"/>
          <w:szCs w:val="24"/>
        </w:rPr>
        <w:t>S</w:t>
      </w:r>
      <w:r>
        <w:rPr>
          <w:rFonts w:ascii="Times New Roman" w:hAnsi="Times New Roman"/>
          <w:color w:val="0000FF"/>
          <w:kern w:val="0"/>
          <w:sz w:val="24"/>
          <w:szCs w:val="24"/>
        </w:rPr>
        <w:t>2(a)</w:t>
      </w:r>
      <w:r w:rsidR="00BB112D" w:rsidRPr="00BB112D">
        <w:rPr>
          <w:rFonts w:ascii="Times New Roman" w:hAnsi="Times New Roman"/>
          <w:kern w:val="0"/>
          <w:sz w:val="24"/>
          <w:szCs w:val="24"/>
        </w:rPr>
        <w:t xml:space="preserve"> </w:t>
      </w:r>
      <w:r w:rsidR="00BB112D" w:rsidRPr="00BB112D">
        <w:rPr>
          <w:rFonts w:ascii="Times New Roman" w:hAnsi="Times New Roman" w:hint="eastAsia"/>
          <w:kern w:val="0"/>
          <w:sz w:val="24"/>
          <w:szCs w:val="24"/>
        </w:rPr>
        <w:t>i</w:t>
      </w:r>
      <w:r w:rsidR="00BB112D" w:rsidRPr="00BB112D">
        <w:rPr>
          <w:rFonts w:ascii="Times New Roman" w:hAnsi="Times New Roman"/>
          <w:kern w:val="0"/>
          <w:sz w:val="24"/>
          <w:szCs w:val="24"/>
        </w:rPr>
        <w:t>s</w:t>
      </w:r>
      <w:r w:rsidR="00BB112D">
        <w:rPr>
          <w:rFonts w:ascii="Times New Roman" w:hAnsi="Times New Roman"/>
          <w:kern w:val="0"/>
          <w:sz w:val="24"/>
          <w:szCs w:val="24"/>
        </w:rPr>
        <w:t xml:space="preserve"> the FTIR analysis of the stone coal-based matrix after roasting. </w:t>
      </w:r>
      <w:r w:rsidR="001C2C0F">
        <w:rPr>
          <w:rFonts w:ascii="Times New Roman" w:hAnsi="Times New Roman"/>
          <w:color w:val="000000" w:themeColor="text1"/>
          <w:kern w:val="0"/>
          <w:sz w:val="24"/>
          <w:szCs w:val="24"/>
        </w:rPr>
        <w:t>I</w:t>
      </w:r>
      <w:r w:rsidR="00561801">
        <w:rPr>
          <w:rFonts w:ascii="Times New Roman" w:hAnsi="Times New Roman"/>
          <w:color w:val="000000" w:themeColor="text1"/>
          <w:kern w:val="0"/>
          <w:sz w:val="24"/>
          <w:szCs w:val="24"/>
        </w:rPr>
        <w:t>t can be seen that the higher the roasting temperature at the same roasting time, the wider the peak of the FTIR curve at 1088 and 3427 cm</w:t>
      </w:r>
      <w:bookmarkStart w:id="5" w:name="OLE_LINK6"/>
      <w:bookmarkStart w:id="6" w:name="OLE_LINK7"/>
      <w:r w:rsidRPr="00D511C9">
        <w:rPr>
          <w:rFonts w:ascii="Times New Roman" w:hAnsi="Times New Roman"/>
          <w:color w:val="000000" w:themeColor="text1"/>
          <w:kern w:val="0"/>
          <w:sz w:val="24"/>
          <w:szCs w:val="24"/>
          <w:vertAlign w:val="superscript"/>
        </w:rPr>
        <w:t>−</w:t>
      </w:r>
      <w:bookmarkEnd w:id="5"/>
      <w:bookmarkEnd w:id="6"/>
      <w:r w:rsidR="00561801">
        <w:rPr>
          <w:rFonts w:ascii="Times New Roman" w:hAnsi="Times New Roman"/>
          <w:color w:val="000000" w:themeColor="text1"/>
          <w:kern w:val="0"/>
          <w:sz w:val="24"/>
          <w:szCs w:val="24"/>
          <w:vertAlign w:val="superscript"/>
        </w:rPr>
        <w:t>1</w:t>
      </w:r>
      <w:r w:rsidR="00561801">
        <w:rPr>
          <w:rFonts w:ascii="Times New Roman" w:hAnsi="Times New Roman"/>
          <w:color w:val="000000" w:themeColor="text1"/>
          <w:kern w:val="0"/>
          <w:sz w:val="24"/>
          <w:szCs w:val="24"/>
        </w:rPr>
        <w:t xml:space="preserve"> </w:t>
      </w:r>
      <w:r w:rsidR="00BA2973">
        <w:rPr>
          <w:rFonts w:ascii="Times New Roman" w:hAnsi="Times New Roman"/>
          <w:color w:val="000000" w:themeColor="text1"/>
          <w:kern w:val="0"/>
          <w:sz w:val="24"/>
          <w:szCs w:val="24"/>
        </w:rPr>
        <w:t>were</w:t>
      </w:r>
      <w:r w:rsidR="00561801">
        <w:rPr>
          <w:rFonts w:ascii="Times New Roman" w:hAnsi="Times New Roman"/>
          <w:color w:val="000000" w:themeColor="text1"/>
          <w:kern w:val="0"/>
          <w:sz w:val="24"/>
          <w:szCs w:val="24"/>
        </w:rPr>
        <w:t xml:space="preserve">. </w:t>
      </w:r>
      <w:bookmarkStart w:id="7" w:name="_Hlk124016461"/>
      <w:r w:rsidR="00561801">
        <w:rPr>
          <w:rFonts w:ascii="Times New Roman" w:hAnsi="Times New Roman"/>
          <w:color w:val="000000" w:themeColor="text1"/>
          <w:kern w:val="0"/>
          <w:sz w:val="24"/>
          <w:szCs w:val="24"/>
        </w:rPr>
        <w:t xml:space="preserve">When the roasting temperature </w:t>
      </w:r>
      <w:r w:rsidR="00BA2973">
        <w:rPr>
          <w:rFonts w:ascii="Times New Roman" w:hAnsi="Times New Roman"/>
          <w:color w:val="000000" w:themeColor="text1"/>
          <w:kern w:val="0"/>
          <w:sz w:val="24"/>
          <w:szCs w:val="24"/>
        </w:rPr>
        <w:t>was</w:t>
      </w:r>
      <w:r w:rsidR="00561801">
        <w:rPr>
          <w:rFonts w:ascii="Times New Roman" w:hAnsi="Times New Roman"/>
          <w:color w:val="000000" w:themeColor="text1"/>
          <w:kern w:val="0"/>
          <w:sz w:val="24"/>
          <w:szCs w:val="24"/>
        </w:rPr>
        <w:t xml:space="preserve"> 900 °C, the wider the peak of the FTIR curve at 1088 cm</w:t>
      </w:r>
      <w:r w:rsidRPr="00D511C9">
        <w:rPr>
          <w:rFonts w:ascii="Times New Roman" w:hAnsi="Times New Roman"/>
          <w:color w:val="000000" w:themeColor="text1"/>
          <w:kern w:val="0"/>
          <w:sz w:val="24"/>
          <w:szCs w:val="24"/>
          <w:vertAlign w:val="superscript"/>
        </w:rPr>
        <w:t>−</w:t>
      </w:r>
      <w:r w:rsidR="00561801">
        <w:rPr>
          <w:rFonts w:ascii="Times New Roman" w:hAnsi="Times New Roman"/>
          <w:color w:val="000000" w:themeColor="text1"/>
          <w:kern w:val="0"/>
          <w:sz w:val="24"/>
          <w:szCs w:val="24"/>
          <w:vertAlign w:val="superscript"/>
        </w:rPr>
        <w:t>1</w:t>
      </w:r>
      <w:r w:rsidR="00561801">
        <w:rPr>
          <w:rFonts w:ascii="Times New Roman" w:hAnsi="Times New Roman"/>
          <w:color w:val="000000" w:themeColor="text1"/>
          <w:kern w:val="0"/>
          <w:sz w:val="24"/>
          <w:szCs w:val="24"/>
        </w:rPr>
        <w:t xml:space="preserve"> with the increase of the roasting time. </w:t>
      </w:r>
      <w:bookmarkEnd w:id="7"/>
      <w:r w:rsidR="00561801">
        <w:rPr>
          <w:rFonts w:ascii="Times New Roman" w:hAnsi="Times New Roman"/>
          <w:color w:val="000000" w:themeColor="text1"/>
          <w:kern w:val="0"/>
          <w:sz w:val="24"/>
          <w:szCs w:val="24"/>
        </w:rPr>
        <w:t xml:space="preserve">This </w:t>
      </w:r>
      <w:r w:rsidR="00BA2973">
        <w:rPr>
          <w:rFonts w:ascii="Times New Roman" w:hAnsi="Times New Roman"/>
          <w:color w:val="000000" w:themeColor="text1"/>
          <w:kern w:val="0"/>
          <w:sz w:val="24"/>
          <w:szCs w:val="24"/>
        </w:rPr>
        <w:t>was</w:t>
      </w:r>
      <w:r w:rsidR="00561801">
        <w:rPr>
          <w:rFonts w:ascii="Times New Roman" w:hAnsi="Times New Roman"/>
          <w:color w:val="000000" w:themeColor="text1"/>
          <w:kern w:val="0"/>
          <w:sz w:val="24"/>
          <w:szCs w:val="24"/>
        </w:rPr>
        <w:t xml:space="preserve"> because the higher the roasting temperature or the longer the calcination time, the higher the degree of destruction of the silica tetrahedral structure in stone coal </w:t>
      </w:r>
      <w:r w:rsidR="00345340">
        <w:rPr>
          <w:rFonts w:ascii="Times New Roman" w:hAnsi="Times New Roman"/>
          <w:color w:val="0000FF"/>
          <w:kern w:val="0"/>
          <w:sz w:val="24"/>
          <w:szCs w:val="24"/>
        </w:rPr>
        <w:fldChar w:fldCharType="begin"/>
      </w:r>
      <w:r w:rsidR="00561801">
        <w:rPr>
          <w:rFonts w:ascii="Times New Roman" w:hAnsi="Times New Roman"/>
          <w:color w:val="0000FF"/>
          <w:kern w:val="0"/>
          <w:sz w:val="24"/>
          <w:szCs w:val="24"/>
        </w:rPr>
        <w:instrText xml:space="preserve"> ADDIN EN.CITE &lt;EndNote&gt;&lt;Cite&gt;&lt;Author&gt;Wang&lt;/Author&gt;&lt;Year&gt;2018&lt;/Year&gt;&lt;RecNum&gt;35&lt;/RecNum&gt;&lt;DisplayText&gt;[1]&lt;/DisplayText&gt;&lt;record&gt;&lt;rec-number&gt;35&lt;/rec-number&gt;&lt;foreign-keys&gt;&lt;key app="EN" db-id="5sdw5tw0c9fvekevea8x2aeppfd59dsrrzft" timestamp="1579599065"&gt;35&lt;/key&gt;&lt;/foreign-keys&gt;&lt;ref-type name="Journal Article"&gt;17&lt;/ref-type&gt;&lt;contributors&gt;&lt;authors&gt;&lt;author&gt;Wang, Xin&lt;/author&gt;&lt;author&gt;Lin, Hai&lt;/author&gt;&lt;author&gt;Dong, Ying-bo&lt;/author&gt;&lt;author&gt;Li, Gan-yu&lt;/author&gt;&lt;/authors&gt;&lt;/contributors&gt;&lt;titles&gt;&lt;title&gt;Bioleaching of vanadium from barren stone coal and its effect on the transition of vanadium speciation and mineral phase&lt;/title&gt;&lt;secondary-title&gt;International Journal of Minerals, Metallurgy, and Materials&lt;/secondary-title&gt;&lt;/titles&gt;&lt;periodical&gt;&lt;full-title&gt;International Journal of Minerals, Metallurgy, and Materials&lt;/full-title&gt;&lt;abbr-1&gt;Inf. J. Min. Met. Mater.&lt;/abbr-1&gt;&lt;/periodical&gt;&lt;pages&gt;253-261&lt;/pages&gt;&lt;volume&gt;25&lt;/volume&gt;&lt;number&gt;3&lt;/number&gt;&lt;dates&gt;&lt;year&gt;2018&lt;/year&gt;&lt;/dates&gt;&lt;isbn&gt;1674-4799&lt;/isbn&gt;&lt;urls&gt;&lt;/urls&gt;&lt;/record&gt;&lt;/Cite&gt;&lt;/EndNote&gt;</w:instrText>
      </w:r>
      <w:r w:rsidR="00345340">
        <w:rPr>
          <w:rFonts w:ascii="Times New Roman" w:hAnsi="Times New Roman"/>
          <w:color w:val="0000FF"/>
          <w:kern w:val="0"/>
          <w:sz w:val="24"/>
          <w:szCs w:val="24"/>
        </w:rPr>
        <w:fldChar w:fldCharType="separate"/>
      </w:r>
      <w:r w:rsidR="00561801">
        <w:rPr>
          <w:rFonts w:ascii="Times New Roman" w:hAnsi="Times New Roman"/>
          <w:color w:val="0000FF"/>
          <w:kern w:val="0"/>
          <w:sz w:val="24"/>
          <w:szCs w:val="24"/>
        </w:rPr>
        <w:t>[1]</w:t>
      </w:r>
      <w:r w:rsidR="00345340">
        <w:rPr>
          <w:rFonts w:ascii="Times New Roman" w:hAnsi="Times New Roman"/>
          <w:color w:val="0000FF"/>
          <w:kern w:val="0"/>
          <w:sz w:val="24"/>
          <w:szCs w:val="24"/>
        </w:rPr>
        <w:fldChar w:fldCharType="end"/>
      </w:r>
      <w:r w:rsidR="00561801">
        <w:rPr>
          <w:rFonts w:ascii="Times New Roman" w:hAnsi="Times New Roman"/>
          <w:color w:val="000000" w:themeColor="text1"/>
          <w:kern w:val="0"/>
          <w:sz w:val="24"/>
          <w:szCs w:val="24"/>
        </w:rPr>
        <w:t xml:space="preserve">. It can also be seen in </w:t>
      </w:r>
      <w:r>
        <w:rPr>
          <w:rFonts w:ascii="Times New Roman" w:hAnsi="Times New Roman"/>
          <w:color w:val="0000FF"/>
          <w:kern w:val="0"/>
          <w:sz w:val="24"/>
          <w:szCs w:val="24"/>
        </w:rPr>
        <w:t xml:space="preserve">Fig. </w:t>
      </w:r>
      <w:r>
        <w:rPr>
          <w:rFonts w:ascii="Times New Roman" w:hAnsi="Times New Roman" w:hint="eastAsia"/>
          <w:color w:val="0000FF"/>
          <w:kern w:val="0"/>
          <w:sz w:val="24"/>
          <w:szCs w:val="24"/>
        </w:rPr>
        <w:t>S</w:t>
      </w:r>
      <w:r>
        <w:rPr>
          <w:rFonts w:ascii="Times New Roman" w:hAnsi="Times New Roman"/>
          <w:color w:val="0000FF"/>
          <w:kern w:val="0"/>
          <w:sz w:val="24"/>
          <w:szCs w:val="24"/>
        </w:rPr>
        <w:t>2(b)</w:t>
      </w:r>
      <w:r w:rsidR="00561801">
        <w:rPr>
          <w:rFonts w:ascii="Times New Roman" w:hAnsi="Times New Roman"/>
          <w:color w:val="000000" w:themeColor="text1"/>
          <w:kern w:val="0"/>
          <w:sz w:val="24"/>
          <w:szCs w:val="24"/>
        </w:rPr>
        <w:t xml:space="preserve"> that acid leaching also widens the peak at 1088 cm</w:t>
      </w:r>
      <w:r w:rsidRPr="00D511C9">
        <w:rPr>
          <w:rFonts w:ascii="Times New Roman" w:hAnsi="Times New Roman"/>
          <w:color w:val="000000" w:themeColor="text1"/>
          <w:kern w:val="0"/>
          <w:sz w:val="24"/>
          <w:szCs w:val="24"/>
          <w:vertAlign w:val="superscript"/>
        </w:rPr>
        <w:t>−</w:t>
      </w:r>
      <w:r w:rsidR="00561801">
        <w:rPr>
          <w:rFonts w:ascii="Times New Roman" w:hAnsi="Times New Roman"/>
          <w:color w:val="000000" w:themeColor="text1"/>
          <w:kern w:val="0"/>
          <w:sz w:val="24"/>
          <w:szCs w:val="24"/>
          <w:vertAlign w:val="superscript"/>
        </w:rPr>
        <w:t>1</w:t>
      </w:r>
      <w:r w:rsidR="00561801">
        <w:rPr>
          <w:rFonts w:ascii="Times New Roman" w:hAnsi="Times New Roman"/>
          <w:color w:val="000000" w:themeColor="text1"/>
          <w:kern w:val="0"/>
          <w:sz w:val="24"/>
          <w:szCs w:val="24"/>
        </w:rPr>
        <w:t xml:space="preserve"> relative to </w:t>
      </w:r>
      <w:r>
        <w:rPr>
          <w:rFonts w:ascii="Times New Roman" w:hAnsi="Times New Roman"/>
          <w:color w:val="0000FF"/>
          <w:kern w:val="0"/>
          <w:sz w:val="24"/>
          <w:szCs w:val="24"/>
        </w:rPr>
        <w:t xml:space="preserve">Fig. </w:t>
      </w:r>
      <w:r>
        <w:rPr>
          <w:rFonts w:ascii="Times New Roman" w:hAnsi="Times New Roman" w:hint="eastAsia"/>
          <w:color w:val="0000FF"/>
          <w:kern w:val="0"/>
          <w:sz w:val="24"/>
          <w:szCs w:val="24"/>
        </w:rPr>
        <w:t>S</w:t>
      </w:r>
      <w:r>
        <w:rPr>
          <w:rFonts w:ascii="Times New Roman" w:hAnsi="Times New Roman"/>
          <w:color w:val="0000FF"/>
          <w:kern w:val="0"/>
          <w:sz w:val="24"/>
          <w:szCs w:val="24"/>
        </w:rPr>
        <w:t>2(a)</w:t>
      </w:r>
      <w:r w:rsidR="00561801">
        <w:rPr>
          <w:rFonts w:ascii="Times New Roman" w:hAnsi="Times New Roman"/>
          <w:color w:val="000000" w:themeColor="text1"/>
          <w:kern w:val="0"/>
          <w:sz w:val="24"/>
          <w:szCs w:val="24"/>
        </w:rPr>
        <w:t>, indicating that acid leaching can also play a role in destroying the structure.</w:t>
      </w:r>
    </w:p>
    <w:p w14:paraId="52EF8D60" w14:textId="77777777" w:rsidR="00B14955" w:rsidRPr="00A202FA" w:rsidRDefault="00B14955" w:rsidP="00B14955">
      <w:pPr>
        <w:widowControl/>
        <w:adjustRightInd w:val="0"/>
        <w:snapToGrid w:val="0"/>
        <w:jc w:val="center"/>
        <w:rPr>
          <w:rFonts w:ascii="Times New Roman" w:hAnsi="Times New Roman"/>
          <w:b/>
          <w:bCs/>
          <w:color w:val="000000" w:themeColor="text1"/>
          <w:kern w:val="0"/>
          <w:sz w:val="24"/>
          <w:szCs w:val="24"/>
        </w:rPr>
      </w:pPr>
      <w:r w:rsidRPr="00A202FA">
        <w:rPr>
          <w:rFonts w:ascii="Times New Roman" w:hAnsi="Times New Roman"/>
          <w:noProof/>
          <w:color w:val="000000" w:themeColor="text1"/>
          <w:kern w:val="0"/>
          <w:sz w:val="24"/>
          <w:szCs w:val="24"/>
        </w:rPr>
        <w:drawing>
          <wp:inline distT="0" distB="0" distL="0" distR="0" wp14:anchorId="4B0F8227" wp14:editId="052AE1CD">
            <wp:extent cx="2621915" cy="1856428"/>
            <wp:effectExtent l="0" t="0" r="6985" b="0"/>
            <wp:docPr id="1660754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498" name=""/>
                    <pic:cNvPicPr/>
                  </pic:nvPicPr>
                  <pic:blipFill>
                    <a:blip r:embed="rId10"/>
                    <a:stretch>
                      <a:fillRect/>
                    </a:stretch>
                  </pic:blipFill>
                  <pic:spPr>
                    <a:xfrm>
                      <a:off x="0" y="0"/>
                      <a:ext cx="2634837" cy="1865578"/>
                    </a:xfrm>
                    <a:prstGeom prst="rect">
                      <a:avLst/>
                    </a:prstGeom>
                  </pic:spPr>
                </pic:pic>
              </a:graphicData>
            </a:graphic>
          </wp:inline>
        </w:drawing>
      </w:r>
      <w:r w:rsidRPr="00A202FA">
        <w:rPr>
          <w:rFonts w:ascii="Times New Roman" w:hAnsi="Times New Roman"/>
          <w:b/>
          <w:bCs/>
          <w:noProof/>
          <w:color w:val="000000" w:themeColor="text1"/>
          <w:kern w:val="0"/>
          <w:sz w:val="24"/>
          <w:szCs w:val="24"/>
        </w:rPr>
        <w:drawing>
          <wp:inline distT="0" distB="0" distL="0" distR="0" wp14:anchorId="1711BE69" wp14:editId="06DC1D17">
            <wp:extent cx="2615663" cy="1854835"/>
            <wp:effectExtent l="0" t="0" r="0" b="0"/>
            <wp:docPr id="7456530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53072" name=""/>
                    <pic:cNvPicPr/>
                  </pic:nvPicPr>
                  <pic:blipFill>
                    <a:blip r:embed="rId11"/>
                    <a:stretch>
                      <a:fillRect/>
                    </a:stretch>
                  </pic:blipFill>
                  <pic:spPr>
                    <a:xfrm>
                      <a:off x="0" y="0"/>
                      <a:ext cx="2629204" cy="1864437"/>
                    </a:xfrm>
                    <a:prstGeom prst="rect">
                      <a:avLst/>
                    </a:prstGeom>
                  </pic:spPr>
                </pic:pic>
              </a:graphicData>
            </a:graphic>
          </wp:inline>
        </w:drawing>
      </w:r>
    </w:p>
    <w:p w14:paraId="0B3D92C0" w14:textId="78CF9039" w:rsidR="00BA4030" w:rsidRPr="00FF023E" w:rsidRDefault="00561801">
      <w:pPr>
        <w:adjustRightInd w:val="0"/>
        <w:snapToGrid w:val="0"/>
        <w:spacing w:line="480" w:lineRule="auto"/>
        <w:jc w:val="center"/>
        <w:rPr>
          <w:rFonts w:ascii="Times New Roman" w:hAnsi="Times New Roman"/>
          <w:sz w:val="24"/>
          <w:szCs w:val="24"/>
        </w:rPr>
      </w:pPr>
      <w:r w:rsidRPr="00FF023E">
        <w:rPr>
          <w:rFonts w:ascii="Times New Roman" w:hAnsi="Times New Roman"/>
          <w:b/>
          <w:sz w:val="24"/>
          <w:szCs w:val="24"/>
        </w:rPr>
        <w:t xml:space="preserve">Fig. </w:t>
      </w:r>
      <w:r w:rsidRPr="00FF023E">
        <w:rPr>
          <w:rFonts w:ascii="Times New Roman" w:hAnsi="Times New Roman" w:hint="eastAsia"/>
          <w:b/>
          <w:sz w:val="24"/>
          <w:szCs w:val="24"/>
        </w:rPr>
        <w:t>S</w:t>
      </w:r>
      <w:r w:rsidRPr="00FF023E">
        <w:rPr>
          <w:rFonts w:ascii="Times New Roman" w:hAnsi="Times New Roman"/>
          <w:b/>
          <w:sz w:val="24"/>
          <w:szCs w:val="24"/>
        </w:rPr>
        <w:t>2</w:t>
      </w:r>
      <w:r w:rsidRPr="00FF023E">
        <w:rPr>
          <w:rFonts w:ascii="Times New Roman" w:hAnsi="Times New Roman"/>
          <w:sz w:val="24"/>
          <w:szCs w:val="24"/>
        </w:rPr>
        <w:t xml:space="preserve">. </w:t>
      </w:r>
      <w:r w:rsidR="00126C0F" w:rsidRPr="00FF023E">
        <w:rPr>
          <w:rFonts w:ascii="Times New Roman" w:hAnsi="Times New Roman"/>
          <w:sz w:val="24"/>
          <w:szCs w:val="24"/>
        </w:rPr>
        <w:t xml:space="preserve"> </w:t>
      </w:r>
      <w:r w:rsidRPr="00FF023E">
        <w:rPr>
          <w:rFonts w:ascii="Times New Roman" w:hAnsi="Times New Roman"/>
          <w:sz w:val="24"/>
          <w:szCs w:val="24"/>
        </w:rPr>
        <w:t xml:space="preserve">FTIR patterns of </w:t>
      </w:r>
      <w:r w:rsidR="00DB73A0" w:rsidRPr="00FF023E">
        <w:rPr>
          <w:rFonts w:ascii="Times New Roman" w:hAnsi="Times New Roman"/>
          <w:sz w:val="24"/>
          <w:szCs w:val="24"/>
        </w:rPr>
        <w:t xml:space="preserve">(a) </w:t>
      </w:r>
      <w:r w:rsidR="00DB73A0" w:rsidRPr="00FF023E">
        <w:rPr>
          <w:rFonts w:ascii="Times New Roman" w:hAnsi="Times New Roman"/>
          <w:sz w:val="24"/>
          <w:szCs w:val="24"/>
          <w:shd w:val="clear" w:color="auto" w:fill="FFFFFF"/>
        </w:rPr>
        <w:t>SC under different roasted temperatures and times before acid leaching</w:t>
      </w:r>
      <w:r w:rsidR="00DB73A0" w:rsidRPr="00FF023E">
        <w:rPr>
          <w:rFonts w:ascii="Times New Roman" w:hAnsi="Times New Roman"/>
          <w:sz w:val="24"/>
          <w:szCs w:val="24"/>
        </w:rPr>
        <w:t>; (b)</w:t>
      </w:r>
      <w:r w:rsidR="00DB73A0" w:rsidRPr="00FF023E">
        <w:rPr>
          <w:rFonts w:ascii="Times New Roman" w:hAnsi="Times New Roman"/>
          <w:sz w:val="24"/>
          <w:szCs w:val="24"/>
          <w:shd w:val="clear" w:color="auto" w:fill="FFFFFF"/>
        </w:rPr>
        <w:t xml:space="preserve"> roasted SC after acid leaching.</w:t>
      </w:r>
    </w:p>
    <w:p w14:paraId="3D241EC4" w14:textId="58D14E67" w:rsidR="00693FB7" w:rsidRPr="00172B79" w:rsidRDefault="00693FB7" w:rsidP="00693FB7">
      <w:pPr>
        <w:keepNext/>
        <w:keepLines/>
        <w:adjustRightInd w:val="0"/>
        <w:snapToGrid w:val="0"/>
        <w:spacing w:line="480" w:lineRule="auto"/>
        <w:outlineLvl w:val="1"/>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Effect of roasting and acid leaching on pore structure </w:t>
      </w:r>
    </w:p>
    <w:p w14:paraId="0477319A" w14:textId="17B76F13" w:rsidR="00583534" w:rsidRDefault="00583534" w:rsidP="00583534">
      <w:pPr>
        <w:widowControl/>
        <w:adjustRightInd w:val="0"/>
        <w:snapToGrid w:val="0"/>
        <w:spacing w:line="480" w:lineRule="auto"/>
        <w:ind w:firstLineChars="200" w:firstLine="480"/>
        <w:rPr>
          <w:rFonts w:ascii="Times New Roman" w:hAnsi="Times New Roman"/>
          <w:color w:val="000000" w:themeColor="text1"/>
          <w:kern w:val="0"/>
          <w:sz w:val="24"/>
          <w:szCs w:val="24"/>
        </w:rPr>
      </w:pPr>
      <w:bookmarkStart w:id="8" w:name="_Hlk124165393"/>
      <w:r>
        <w:rPr>
          <w:rFonts w:ascii="Times New Roman" w:hAnsi="Times New Roman"/>
          <w:color w:val="000000" w:themeColor="text1"/>
          <w:kern w:val="0"/>
          <w:sz w:val="24"/>
          <w:szCs w:val="24"/>
        </w:rPr>
        <w:t xml:space="preserve">The pore size distributions and incremental pore volume of SC and SC1L were shown in </w:t>
      </w:r>
      <w:r>
        <w:rPr>
          <w:rFonts w:ascii="Times New Roman" w:hAnsi="Times New Roman"/>
          <w:color w:val="0000FF"/>
          <w:kern w:val="0"/>
          <w:sz w:val="24"/>
          <w:szCs w:val="24"/>
        </w:rPr>
        <w:t xml:space="preserve">Fig. </w:t>
      </w:r>
      <w:r>
        <w:rPr>
          <w:rFonts w:ascii="Times New Roman" w:hAnsi="Times New Roman" w:hint="eastAsia"/>
          <w:color w:val="0000FF"/>
          <w:kern w:val="0"/>
          <w:sz w:val="24"/>
          <w:szCs w:val="24"/>
        </w:rPr>
        <w:t>S3</w:t>
      </w:r>
      <w:r>
        <w:rPr>
          <w:rFonts w:ascii="Times New Roman" w:hAnsi="Times New Roman"/>
          <w:color w:val="000000" w:themeColor="text1"/>
          <w:kern w:val="0"/>
          <w:sz w:val="24"/>
          <w:szCs w:val="24"/>
        </w:rPr>
        <w:t xml:space="preserve">. As shown in the inset of </w:t>
      </w:r>
      <w:r w:rsidR="00FF023E">
        <w:rPr>
          <w:rFonts w:ascii="Times New Roman" w:hAnsi="Times New Roman"/>
          <w:color w:val="0000FF"/>
          <w:kern w:val="0"/>
          <w:sz w:val="24"/>
          <w:szCs w:val="24"/>
        </w:rPr>
        <w:t xml:space="preserve">Fig. </w:t>
      </w:r>
      <w:r w:rsidR="00FF023E">
        <w:rPr>
          <w:rFonts w:ascii="Times New Roman" w:hAnsi="Times New Roman" w:hint="eastAsia"/>
          <w:color w:val="0000FF"/>
          <w:kern w:val="0"/>
          <w:sz w:val="24"/>
          <w:szCs w:val="24"/>
        </w:rPr>
        <w:t>S3</w:t>
      </w:r>
      <w:r w:rsidR="00FF023E">
        <w:rPr>
          <w:rFonts w:ascii="Times New Roman" w:hAnsi="Times New Roman"/>
          <w:color w:val="0000FF"/>
          <w:kern w:val="0"/>
          <w:sz w:val="24"/>
          <w:szCs w:val="24"/>
        </w:rPr>
        <w:t>(a)</w:t>
      </w:r>
      <w:r>
        <w:rPr>
          <w:rFonts w:ascii="Times New Roman" w:hAnsi="Times New Roman"/>
          <w:color w:val="000000" w:themeColor="text1"/>
          <w:kern w:val="0"/>
          <w:sz w:val="24"/>
          <w:szCs w:val="24"/>
        </w:rPr>
        <w:t xml:space="preserve">, </w:t>
      </w:r>
      <w:r w:rsidR="00E176E4">
        <w:rPr>
          <w:rFonts w:ascii="Times New Roman" w:hAnsi="Times New Roman"/>
          <w:color w:val="000000" w:themeColor="text1"/>
          <w:kern w:val="0"/>
          <w:sz w:val="24"/>
          <w:szCs w:val="24"/>
        </w:rPr>
        <w:t>t</w:t>
      </w:r>
      <w:r>
        <w:rPr>
          <w:rFonts w:ascii="Times New Roman" w:hAnsi="Times New Roman"/>
          <w:color w:val="000000" w:themeColor="text1"/>
          <w:kern w:val="0"/>
          <w:sz w:val="24"/>
          <w:szCs w:val="24"/>
        </w:rPr>
        <w:t>he incremental pore volume of 70</w:t>
      </w:r>
      <w:r w:rsidR="000031A7" w:rsidRPr="009D6DD1">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80 nm occupied primary, following by 120</w:t>
      </w:r>
      <w:r w:rsidR="00FF023E" w:rsidRPr="009D6DD1">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 xml:space="preserve">180 nm. The pore volume was mildly increased by </w:t>
      </w:r>
      <w:r>
        <w:rPr>
          <w:rFonts w:ascii="Times New Roman" w:hAnsi="Times New Roman"/>
          <w:bCs/>
          <w:color w:val="000000" w:themeColor="text1"/>
          <w:sz w:val="24"/>
          <w:szCs w:val="24"/>
        </w:rPr>
        <w:t>roasting and acid leaching</w:t>
      </w:r>
      <w:r>
        <w:rPr>
          <w:rFonts w:ascii="Times New Roman" w:hAnsi="Times New Roman"/>
          <w:color w:val="000000" w:themeColor="text1"/>
          <w:kern w:val="0"/>
          <w:sz w:val="24"/>
          <w:szCs w:val="24"/>
        </w:rPr>
        <w:t xml:space="preserve"> of SC while the pore width was less than 4 nm (inset of </w:t>
      </w:r>
      <w:r w:rsidR="00FF023E">
        <w:rPr>
          <w:rFonts w:ascii="Times New Roman" w:hAnsi="Times New Roman"/>
          <w:color w:val="0000FF"/>
          <w:kern w:val="0"/>
          <w:sz w:val="24"/>
          <w:szCs w:val="24"/>
        </w:rPr>
        <w:t xml:space="preserve">Fig. </w:t>
      </w:r>
      <w:r w:rsidR="00FF023E">
        <w:rPr>
          <w:rFonts w:ascii="Times New Roman" w:hAnsi="Times New Roman" w:hint="eastAsia"/>
          <w:color w:val="0000FF"/>
          <w:kern w:val="0"/>
          <w:sz w:val="24"/>
          <w:szCs w:val="24"/>
        </w:rPr>
        <w:t>S3</w:t>
      </w:r>
      <w:r w:rsidR="00FF023E">
        <w:rPr>
          <w:rFonts w:ascii="Times New Roman" w:hAnsi="Times New Roman"/>
          <w:color w:val="0000FF"/>
          <w:kern w:val="0"/>
          <w:sz w:val="24"/>
          <w:szCs w:val="24"/>
        </w:rPr>
        <w:t>(a)</w:t>
      </w:r>
      <w:r>
        <w:rPr>
          <w:rFonts w:ascii="Times New Roman" w:hAnsi="Times New Roman"/>
          <w:color w:val="000000" w:themeColor="text1"/>
          <w:kern w:val="0"/>
          <w:sz w:val="24"/>
          <w:szCs w:val="24"/>
        </w:rPr>
        <w:t>). The cumulative pore volume of SC1L was enhanced compared to that of SC while the pore width was 9</w:t>
      </w:r>
      <w:r w:rsidR="00FF023E" w:rsidRPr="009D6DD1">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79 nm (</w:t>
      </w:r>
      <w:r w:rsidR="00FF023E">
        <w:rPr>
          <w:rFonts w:ascii="Times New Roman" w:hAnsi="Times New Roman"/>
          <w:color w:val="0000FF"/>
          <w:kern w:val="0"/>
          <w:sz w:val="24"/>
          <w:szCs w:val="24"/>
        </w:rPr>
        <w:t xml:space="preserve">Fig. </w:t>
      </w:r>
      <w:r w:rsidR="00FF023E">
        <w:rPr>
          <w:rFonts w:ascii="Times New Roman" w:hAnsi="Times New Roman" w:hint="eastAsia"/>
          <w:color w:val="0000FF"/>
          <w:kern w:val="0"/>
          <w:sz w:val="24"/>
          <w:szCs w:val="24"/>
        </w:rPr>
        <w:t>S3</w:t>
      </w:r>
      <w:r w:rsidR="00FF023E">
        <w:rPr>
          <w:rFonts w:ascii="Times New Roman" w:hAnsi="Times New Roman"/>
          <w:color w:val="0000FF"/>
          <w:kern w:val="0"/>
          <w:sz w:val="24"/>
          <w:szCs w:val="24"/>
        </w:rPr>
        <w:t>(b)</w:t>
      </w:r>
      <w:r>
        <w:rPr>
          <w:rFonts w:ascii="Times New Roman" w:hAnsi="Times New Roman"/>
          <w:color w:val="000000" w:themeColor="text1"/>
          <w:kern w:val="0"/>
          <w:sz w:val="24"/>
          <w:szCs w:val="24"/>
        </w:rPr>
        <w:t>). It was found that 90% of the cumulative pore volume of SC1L was distributed in pore width less than 130 nm but that of SC less than 140 nm. It indicated that SA in SC1L was more stable than that in SC. This conclusion was consistent with the TG analysis results.</w:t>
      </w:r>
      <w:r w:rsidR="00FF023E" w:rsidRPr="00FF023E">
        <w:rPr>
          <w:rFonts w:ascii="Times New Roman" w:hAnsi="Times New Roman"/>
          <w:color w:val="0000FF"/>
          <w:kern w:val="0"/>
          <w:sz w:val="24"/>
          <w:szCs w:val="24"/>
        </w:rPr>
        <w:t xml:space="preserve"> </w:t>
      </w:r>
      <w:r w:rsidR="00FF023E">
        <w:rPr>
          <w:rFonts w:ascii="Times New Roman" w:hAnsi="Times New Roman"/>
          <w:color w:val="0000FF"/>
          <w:kern w:val="0"/>
          <w:sz w:val="24"/>
          <w:szCs w:val="24"/>
        </w:rPr>
        <w:t xml:space="preserve">Fig. </w:t>
      </w:r>
      <w:r w:rsidR="00FF023E">
        <w:rPr>
          <w:rFonts w:ascii="Times New Roman" w:hAnsi="Times New Roman" w:hint="eastAsia"/>
          <w:color w:val="0000FF"/>
          <w:kern w:val="0"/>
          <w:sz w:val="24"/>
          <w:szCs w:val="24"/>
        </w:rPr>
        <w:t>S3</w:t>
      </w:r>
      <w:r w:rsidR="00FF023E">
        <w:rPr>
          <w:rFonts w:ascii="Times New Roman" w:hAnsi="Times New Roman"/>
          <w:color w:val="0000FF"/>
          <w:kern w:val="0"/>
          <w:sz w:val="24"/>
          <w:szCs w:val="24"/>
        </w:rPr>
        <w:t>(c)</w:t>
      </w:r>
      <w:r w:rsidR="00FF023E">
        <w:rPr>
          <w:rFonts w:ascii="Times New Roman" w:hAnsi="Times New Roman"/>
          <w:color w:val="000000" w:themeColor="text1"/>
          <w:kern w:val="0"/>
          <w:sz w:val="24"/>
          <w:szCs w:val="24"/>
        </w:rPr>
        <w:t xml:space="preserve"> and </w:t>
      </w:r>
      <w:r w:rsidR="00FF023E">
        <w:rPr>
          <w:rFonts w:ascii="Times New Roman" w:hAnsi="Times New Roman"/>
          <w:color w:val="0000FF"/>
          <w:kern w:val="0"/>
          <w:sz w:val="24"/>
          <w:szCs w:val="24"/>
        </w:rPr>
        <w:t>(d)</w:t>
      </w:r>
      <w:r>
        <w:rPr>
          <w:rFonts w:ascii="Times New Roman" w:hAnsi="Times New Roman"/>
          <w:color w:val="000000" w:themeColor="text1"/>
          <w:kern w:val="0"/>
          <w:sz w:val="24"/>
          <w:szCs w:val="24"/>
        </w:rPr>
        <w:t xml:space="preserve"> further studied the incremental pore area and cumulative pore area of SC and SC1L. The incremental pore area of SC was a little larger than that of SC while the pore width within 5</w:t>
      </w:r>
      <w:r w:rsidR="00FF023E" w:rsidRPr="009D6DD1">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25 nm (</w:t>
      </w:r>
      <w:r w:rsidR="00FF023E">
        <w:rPr>
          <w:rFonts w:ascii="Times New Roman" w:hAnsi="Times New Roman"/>
          <w:color w:val="0000FF"/>
          <w:kern w:val="0"/>
          <w:sz w:val="24"/>
          <w:szCs w:val="24"/>
        </w:rPr>
        <w:t xml:space="preserve">Fig. </w:t>
      </w:r>
      <w:r w:rsidR="00FF023E">
        <w:rPr>
          <w:rFonts w:ascii="Times New Roman" w:hAnsi="Times New Roman" w:hint="eastAsia"/>
          <w:color w:val="0000FF"/>
          <w:kern w:val="0"/>
          <w:sz w:val="24"/>
          <w:szCs w:val="24"/>
        </w:rPr>
        <w:t>S3</w:t>
      </w:r>
      <w:r w:rsidR="00FF023E">
        <w:rPr>
          <w:rFonts w:ascii="Times New Roman" w:hAnsi="Times New Roman"/>
          <w:color w:val="0000FF"/>
          <w:kern w:val="0"/>
          <w:sz w:val="24"/>
          <w:szCs w:val="24"/>
        </w:rPr>
        <w:t>(c)</w:t>
      </w:r>
      <w:r>
        <w:rPr>
          <w:rFonts w:ascii="Times New Roman" w:hAnsi="Times New Roman"/>
          <w:color w:val="000000" w:themeColor="text1"/>
          <w:kern w:val="0"/>
          <w:sz w:val="24"/>
          <w:szCs w:val="24"/>
        </w:rPr>
        <w:t>). But the incremental pore area of SC1L was a little larger than that of SC while the pore width within 25</w:t>
      </w:r>
      <w:r w:rsidR="00FF023E" w:rsidRPr="009D6DD1">
        <w:rPr>
          <w:rFonts w:ascii="Times New Roman" w:hAnsi="Times New Roman"/>
          <w:color w:val="000000" w:themeColor="text1"/>
          <w:kern w:val="0"/>
          <w:sz w:val="24"/>
          <w:szCs w:val="24"/>
        </w:rPr>
        <w:t>–</w:t>
      </w:r>
      <w:r>
        <w:rPr>
          <w:rFonts w:ascii="Times New Roman" w:hAnsi="Times New Roman"/>
          <w:color w:val="000000" w:themeColor="text1"/>
          <w:kern w:val="0"/>
          <w:sz w:val="24"/>
          <w:szCs w:val="24"/>
        </w:rPr>
        <w:t>180 nm. It is observed that the cumulative pore area of SC1L rose dramatically comparing with SC (</w:t>
      </w:r>
      <w:r w:rsidR="00FF023E">
        <w:rPr>
          <w:rFonts w:ascii="Times New Roman" w:hAnsi="Times New Roman"/>
          <w:color w:val="0000FF"/>
          <w:kern w:val="0"/>
          <w:sz w:val="24"/>
          <w:szCs w:val="24"/>
        </w:rPr>
        <w:t xml:space="preserve">Fig. </w:t>
      </w:r>
      <w:r w:rsidR="00FF023E">
        <w:rPr>
          <w:rFonts w:ascii="Times New Roman" w:hAnsi="Times New Roman" w:hint="eastAsia"/>
          <w:color w:val="0000FF"/>
          <w:kern w:val="0"/>
          <w:sz w:val="24"/>
          <w:szCs w:val="24"/>
        </w:rPr>
        <w:t>S3</w:t>
      </w:r>
      <w:r w:rsidR="00FF023E">
        <w:rPr>
          <w:rFonts w:ascii="Times New Roman" w:hAnsi="Times New Roman"/>
          <w:color w:val="0000FF"/>
          <w:kern w:val="0"/>
          <w:sz w:val="24"/>
          <w:szCs w:val="24"/>
        </w:rPr>
        <w:t>(d)</w:t>
      </w:r>
      <w:r>
        <w:rPr>
          <w:rFonts w:ascii="Times New Roman" w:hAnsi="Times New Roman"/>
          <w:color w:val="000000" w:themeColor="text1"/>
          <w:kern w:val="0"/>
          <w:sz w:val="24"/>
          <w:szCs w:val="24"/>
        </w:rPr>
        <w:t xml:space="preserve">). This phenomenon was because pores in SC increased the pore area after </w:t>
      </w:r>
      <w:r>
        <w:rPr>
          <w:rFonts w:ascii="Times New Roman" w:hAnsi="Times New Roman"/>
          <w:bCs/>
          <w:color w:val="000000" w:themeColor="text1"/>
          <w:sz w:val="24"/>
          <w:szCs w:val="24"/>
        </w:rPr>
        <w:t>roasting and acid leaching</w:t>
      </w:r>
      <w:r>
        <w:rPr>
          <w:rFonts w:ascii="Times New Roman" w:hAnsi="Times New Roman"/>
          <w:color w:val="000000" w:themeColor="text1"/>
          <w:kern w:val="0"/>
          <w:sz w:val="24"/>
          <w:szCs w:val="24"/>
        </w:rPr>
        <w:t>. The cumulative pore area provided higher surface area and more rough</w:t>
      </w:r>
      <w:r w:rsidR="002B342C">
        <w:rPr>
          <w:rFonts w:ascii="Times New Roman" w:hAnsi="Times New Roman"/>
          <w:color w:val="000000" w:themeColor="text1"/>
          <w:kern w:val="0"/>
          <w:sz w:val="24"/>
          <w:szCs w:val="24"/>
        </w:rPr>
        <w:t>ly</w:t>
      </w:r>
      <w:r>
        <w:rPr>
          <w:rFonts w:ascii="Times New Roman" w:hAnsi="Times New Roman"/>
          <w:color w:val="000000" w:themeColor="text1"/>
          <w:kern w:val="0"/>
          <w:sz w:val="24"/>
          <w:szCs w:val="24"/>
        </w:rPr>
        <w:t xml:space="preserve"> surface for SC which was a benefit to support and stabilize SA. After vacuum impregnation, the SA was sucked into the pore of supporting materials, it can be concluded that there were more free-moving and melted SA in SC1L. </w:t>
      </w:r>
    </w:p>
    <w:p w14:paraId="3D34A83B" w14:textId="2752BE8F" w:rsidR="00B6479F" w:rsidRDefault="00E4324A" w:rsidP="00126C0F">
      <w:pPr>
        <w:widowControl/>
        <w:adjustRightInd w:val="0"/>
        <w:snapToGrid w:val="0"/>
        <w:jc w:val="center"/>
        <w:rPr>
          <w:rFonts w:ascii="Times New Roman" w:hAnsi="Times New Roman"/>
          <w:noProof/>
          <w:color w:val="000000" w:themeColor="text1"/>
          <w:szCs w:val="21"/>
        </w:rPr>
      </w:pPr>
      <w:r w:rsidRPr="00E4324A">
        <w:rPr>
          <w:rFonts w:ascii="Times New Roman" w:hAnsi="Times New Roman"/>
          <w:noProof/>
          <w:color w:val="000000" w:themeColor="text1"/>
          <w:kern w:val="0"/>
          <w:sz w:val="24"/>
          <w:szCs w:val="24"/>
        </w:rPr>
        <w:lastRenderedPageBreak/>
        <w:drawing>
          <wp:inline distT="0" distB="0" distL="0" distR="0" wp14:anchorId="2C654CE4" wp14:editId="603E8505">
            <wp:extent cx="2657127" cy="1858645"/>
            <wp:effectExtent l="0" t="0" r="0" b="8255"/>
            <wp:docPr id="14108933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93302" name=""/>
                    <pic:cNvPicPr/>
                  </pic:nvPicPr>
                  <pic:blipFill rotWithShape="1">
                    <a:blip r:embed="rId12"/>
                    <a:srcRect t="3488"/>
                    <a:stretch/>
                  </pic:blipFill>
                  <pic:spPr bwMode="auto">
                    <a:xfrm>
                      <a:off x="0" y="0"/>
                      <a:ext cx="2674352" cy="1870694"/>
                    </a:xfrm>
                    <a:prstGeom prst="rect">
                      <a:avLst/>
                    </a:prstGeom>
                    <a:ln>
                      <a:noFill/>
                    </a:ln>
                    <a:extLst>
                      <a:ext uri="{53640926-AAD7-44D8-BBD7-CCE9431645EC}">
                        <a14:shadowObscured xmlns:a14="http://schemas.microsoft.com/office/drawing/2010/main"/>
                      </a:ext>
                    </a:extLst>
                  </pic:spPr>
                </pic:pic>
              </a:graphicData>
            </a:graphic>
          </wp:inline>
        </w:drawing>
      </w:r>
      <w:r w:rsidR="00511EC2">
        <w:rPr>
          <w:noProof/>
        </w:rPr>
        <w:drawing>
          <wp:inline distT="0" distB="0" distL="0" distR="0" wp14:anchorId="57EF259B" wp14:editId="7963B85E">
            <wp:extent cx="2528514" cy="1865183"/>
            <wp:effectExtent l="0" t="0" r="571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45259" cy="1877535"/>
                    </a:xfrm>
                    <a:prstGeom prst="rect">
                      <a:avLst/>
                    </a:prstGeom>
                  </pic:spPr>
                </pic:pic>
              </a:graphicData>
            </a:graphic>
          </wp:inline>
        </w:drawing>
      </w:r>
    </w:p>
    <w:p w14:paraId="5DF1C355" w14:textId="3BD133F7" w:rsidR="000D441F" w:rsidRPr="006E35CB" w:rsidRDefault="000D441F" w:rsidP="00126C0F">
      <w:pPr>
        <w:widowControl/>
        <w:adjustRightInd w:val="0"/>
        <w:snapToGrid w:val="0"/>
        <w:jc w:val="center"/>
        <w:rPr>
          <w:rFonts w:ascii="Times New Roman" w:hAnsi="Times New Roman"/>
          <w:noProof/>
          <w:color w:val="C00000"/>
          <w:szCs w:val="21"/>
        </w:rPr>
      </w:pPr>
      <w:r w:rsidRPr="006E35CB">
        <w:rPr>
          <w:noProof/>
          <w:color w:val="C00000"/>
        </w:rPr>
        <w:drawing>
          <wp:inline distT="0" distB="0" distL="0" distR="0" wp14:anchorId="327C0838" wp14:editId="5486ABC0">
            <wp:extent cx="2590349" cy="1964884"/>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04"/>
                    <a:stretch/>
                  </pic:blipFill>
                  <pic:spPr bwMode="auto">
                    <a:xfrm>
                      <a:off x="0" y="0"/>
                      <a:ext cx="2624235" cy="1990588"/>
                    </a:xfrm>
                    <a:prstGeom prst="rect">
                      <a:avLst/>
                    </a:prstGeom>
                    <a:ln>
                      <a:noFill/>
                    </a:ln>
                    <a:extLst>
                      <a:ext uri="{53640926-AAD7-44D8-BBD7-CCE9431645EC}">
                        <a14:shadowObscured xmlns:a14="http://schemas.microsoft.com/office/drawing/2010/main"/>
                      </a:ext>
                    </a:extLst>
                  </pic:spPr>
                </pic:pic>
              </a:graphicData>
            </a:graphic>
          </wp:inline>
        </w:drawing>
      </w:r>
      <w:r w:rsidR="006E35CB" w:rsidRPr="006E35CB">
        <w:rPr>
          <w:noProof/>
          <w:color w:val="C00000"/>
        </w:rPr>
        <w:drawing>
          <wp:inline distT="0" distB="0" distL="0" distR="0" wp14:anchorId="63C35775" wp14:editId="38694B3A">
            <wp:extent cx="2639833" cy="1958739"/>
            <wp:effectExtent l="0" t="0" r="825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7999" cy="1972218"/>
                    </a:xfrm>
                    <a:prstGeom prst="rect">
                      <a:avLst/>
                    </a:prstGeom>
                  </pic:spPr>
                </pic:pic>
              </a:graphicData>
            </a:graphic>
          </wp:inline>
        </w:drawing>
      </w:r>
    </w:p>
    <w:bookmarkEnd w:id="8"/>
    <w:p w14:paraId="510A9586" w14:textId="6641C250" w:rsidR="00BA4030" w:rsidRPr="00FF023E" w:rsidRDefault="00561801" w:rsidP="00D46F24">
      <w:pPr>
        <w:adjustRightInd w:val="0"/>
        <w:snapToGrid w:val="0"/>
        <w:spacing w:line="360" w:lineRule="auto"/>
        <w:jc w:val="center"/>
        <w:textAlignment w:val="baseline"/>
        <w:rPr>
          <w:rFonts w:ascii="Times New Roman" w:hAnsi="Times New Roman"/>
          <w:sz w:val="24"/>
          <w:szCs w:val="24"/>
        </w:rPr>
      </w:pPr>
      <w:r w:rsidRPr="00FF023E">
        <w:rPr>
          <w:rFonts w:ascii="Times New Roman" w:hAnsi="Times New Roman"/>
          <w:b/>
          <w:sz w:val="24"/>
          <w:szCs w:val="24"/>
        </w:rPr>
        <w:t xml:space="preserve">Fig. </w:t>
      </w:r>
      <w:r w:rsidRPr="00FF023E">
        <w:rPr>
          <w:rFonts w:ascii="Times New Roman" w:hAnsi="Times New Roman" w:hint="eastAsia"/>
          <w:b/>
          <w:sz w:val="24"/>
          <w:szCs w:val="24"/>
        </w:rPr>
        <w:t>S3</w:t>
      </w:r>
      <w:r w:rsidRPr="00FF023E">
        <w:rPr>
          <w:rFonts w:ascii="Times New Roman" w:hAnsi="Times New Roman"/>
          <w:sz w:val="24"/>
          <w:szCs w:val="24"/>
        </w:rPr>
        <w:t>.</w:t>
      </w:r>
      <w:r w:rsidR="00EB085A" w:rsidRPr="00FF023E">
        <w:rPr>
          <w:rFonts w:ascii="Times New Roman" w:hAnsi="Times New Roman"/>
          <w:sz w:val="24"/>
          <w:szCs w:val="24"/>
        </w:rPr>
        <w:t xml:space="preserve"> </w:t>
      </w:r>
      <w:r w:rsidR="00126C0F" w:rsidRPr="00FF023E">
        <w:rPr>
          <w:rFonts w:ascii="Times New Roman" w:hAnsi="Times New Roman"/>
          <w:sz w:val="24"/>
          <w:szCs w:val="24"/>
        </w:rPr>
        <w:t xml:space="preserve"> P</w:t>
      </w:r>
      <w:r w:rsidRPr="00FF023E">
        <w:rPr>
          <w:rFonts w:ascii="Times New Roman" w:hAnsi="Times New Roman"/>
          <w:sz w:val="24"/>
          <w:szCs w:val="24"/>
        </w:rPr>
        <w:t>ore size distribution by Invalid Model: N</w:t>
      </w:r>
      <w:r w:rsidRPr="00FF023E">
        <w:rPr>
          <w:rFonts w:ascii="Times New Roman" w:hAnsi="Times New Roman"/>
          <w:sz w:val="24"/>
          <w:szCs w:val="24"/>
          <w:vertAlign w:val="subscript"/>
        </w:rPr>
        <w:t>2</w:t>
      </w:r>
      <w:r w:rsidR="00FF023E" w:rsidRPr="00FF023E">
        <w:rPr>
          <w:rFonts w:ascii="Times New Roman" w:hAnsi="Times New Roman"/>
          <w:sz w:val="24"/>
          <w:szCs w:val="24"/>
        </w:rPr>
        <w:t>-</w:t>
      </w:r>
      <w:r w:rsidRPr="00FF023E">
        <w:rPr>
          <w:rFonts w:ascii="Times New Roman" w:hAnsi="Times New Roman"/>
          <w:sz w:val="24"/>
          <w:szCs w:val="24"/>
        </w:rPr>
        <w:t>DFT Model for (a) incremental pore volume, (b) cumulative pore volume, (c) incremental pore area, and (d) cumulative pore area of the SC and SC1L.</w:t>
      </w:r>
      <w:r w:rsidR="005F73AA" w:rsidRPr="00FF023E">
        <w:rPr>
          <w:rFonts w:ascii="Times New Roman" w:hAnsi="Times New Roman"/>
          <w:sz w:val="24"/>
          <w:szCs w:val="24"/>
        </w:rPr>
        <w:t xml:space="preserve"> </w:t>
      </w:r>
    </w:p>
    <w:p w14:paraId="128EE7CB" w14:textId="77777777" w:rsidR="00885E6A" w:rsidRPr="00172B79" w:rsidRDefault="00885E6A" w:rsidP="00885E6A">
      <w:pPr>
        <w:keepNext/>
        <w:keepLines/>
        <w:adjustRightInd w:val="0"/>
        <w:snapToGrid w:val="0"/>
        <w:spacing w:line="480" w:lineRule="auto"/>
        <w:outlineLvl w:val="1"/>
        <w:rPr>
          <w:rFonts w:ascii="Times New Roman" w:hAnsi="Times New Roman"/>
          <w:b/>
          <w:bCs/>
          <w:color w:val="000000" w:themeColor="text1"/>
          <w:sz w:val="24"/>
          <w:szCs w:val="24"/>
        </w:rPr>
      </w:pPr>
      <w:r>
        <w:rPr>
          <w:rFonts w:ascii="Times New Roman" w:hAnsi="Times New Roman"/>
          <w:b/>
          <w:bCs/>
          <w:color w:val="000000" w:themeColor="text1"/>
          <w:sz w:val="24"/>
          <w:szCs w:val="24"/>
        </w:rPr>
        <w:t>Effect of roasting and acid leaching on obtained v</w:t>
      </w:r>
      <w:r w:rsidRPr="00DC64D0">
        <w:rPr>
          <w:rFonts w:ascii="Times New Roman" w:hAnsi="Times New Roman"/>
          <w:b/>
          <w:bCs/>
          <w:color w:val="000000" w:themeColor="text1"/>
          <w:sz w:val="24"/>
          <w:szCs w:val="24"/>
        </w:rPr>
        <w:t>anadium ions</w:t>
      </w:r>
      <w:r>
        <w:rPr>
          <w:rFonts w:ascii="Times New Roman" w:hAnsi="Times New Roman"/>
          <w:b/>
          <w:bCs/>
          <w:color w:val="000000" w:themeColor="text1"/>
          <w:sz w:val="24"/>
          <w:szCs w:val="24"/>
        </w:rPr>
        <w:t xml:space="preserve"> </w:t>
      </w:r>
      <w:r w:rsidRPr="00DC64D0">
        <w:rPr>
          <w:rFonts w:ascii="Times New Roman" w:hAnsi="Times New Roman"/>
          <w:b/>
          <w:bCs/>
          <w:color w:val="000000" w:themeColor="text1"/>
          <w:sz w:val="24"/>
          <w:szCs w:val="24"/>
        </w:rPr>
        <w:t>concentration</w:t>
      </w:r>
    </w:p>
    <w:p w14:paraId="0F5F08E0" w14:textId="3EEAD0E9" w:rsidR="00885E6A" w:rsidRDefault="00885E6A" w:rsidP="00885E6A">
      <w:pPr>
        <w:widowControl/>
        <w:adjustRightInd w:val="0"/>
        <w:snapToGrid w:val="0"/>
        <w:spacing w:line="480" w:lineRule="auto"/>
        <w:ind w:firstLineChars="200" w:firstLine="480"/>
        <w:rPr>
          <w:rFonts w:ascii="Times New Roman" w:hAnsi="Times New Roman"/>
          <w:kern w:val="0"/>
          <w:sz w:val="24"/>
          <w:szCs w:val="24"/>
        </w:rPr>
      </w:pPr>
      <w:r>
        <w:rPr>
          <w:rFonts w:ascii="Times New Roman" w:hAnsi="Times New Roman"/>
          <w:color w:val="0000FF"/>
          <w:kern w:val="0"/>
          <w:sz w:val="24"/>
          <w:szCs w:val="24"/>
        </w:rPr>
        <w:t xml:space="preserve">Table </w:t>
      </w:r>
      <w:r>
        <w:rPr>
          <w:rFonts w:ascii="Times New Roman" w:hAnsi="Times New Roman" w:hint="eastAsia"/>
          <w:color w:val="0000FF"/>
          <w:kern w:val="0"/>
          <w:sz w:val="24"/>
          <w:szCs w:val="24"/>
        </w:rPr>
        <w:t>S</w:t>
      </w:r>
      <w:r>
        <w:rPr>
          <w:rFonts w:ascii="Times New Roman" w:hAnsi="Times New Roman"/>
          <w:color w:val="0000FF"/>
          <w:kern w:val="0"/>
          <w:sz w:val="24"/>
          <w:szCs w:val="24"/>
        </w:rPr>
        <w:t xml:space="preserve">1 </w:t>
      </w:r>
      <w:r>
        <w:rPr>
          <w:rFonts w:ascii="Times New Roman" w:hAnsi="Times New Roman"/>
          <w:color w:val="000000" w:themeColor="text1"/>
          <w:kern w:val="0"/>
          <w:sz w:val="24"/>
          <w:szCs w:val="24"/>
        </w:rPr>
        <w:t>sho</w:t>
      </w:r>
      <w:r w:rsidRPr="0021725A">
        <w:rPr>
          <w:rFonts w:ascii="Times New Roman" w:hAnsi="Times New Roman"/>
          <w:kern w:val="0"/>
          <w:sz w:val="24"/>
          <w:szCs w:val="24"/>
        </w:rPr>
        <w:t xml:space="preserve">wed the </w:t>
      </w:r>
      <w:r w:rsidR="00BC530E" w:rsidRPr="0021725A">
        <w:rPr>
          <w:rFonts w:ascii="Times New Roman" w:hAnsi="Times New Roman"/>
          <w:kern w:val="0"/>
          <w:sz w:val="24"/>
          <w:szCs w:val="24"/>
        </w:rPr>
        <w:t>vanadium ions</w:t>
      </w:r>
      <w:r w:rsidR="00BC530E" w:rsidRPr="0021725A">
        <w:rPr>
          <w:rFonts w:ascii="Times New Roman" w:hAnsi="Times New Roman" w:hint="eastAsia"/>
          <w:sz w:val="24"/>
          <w:szCs w:val="24"/>
          <w:shd w:val="clear" w:color="auto" w:fill="FFFFFF"/>
        </w:rPr>
        <w:t xml:space="preserve"> l</w:t>
      </w:r>
      <w:r w:rsidR="00BC530E" w:rsidRPr="0021725A">
        <w:rPr>
          <w:rFonts w:ascii="Times New Roman" w:hAnsi="Times New Roman"/>
          <w:sz w:val="24"/>
          <w:szCs w:val="24"/>
          <w:shd w:val="clear" w:color="auto" w:fill="FFFFFF"/>
        </w:rPr>
        <w:t>eaching rate</w:t>
      </w:r>
      <w:r w:rsidR="00BC530E" w:rsidRPr="0021725A">
        <w:rPr>
          <w:rFonts w:ascii="Times New Roman" w:hAnsi="Times New Roman"/>
          <w:kern w:val="0"/>
          <w:sz w:val="24"/>
          <w:szCs w:val="24"/>
        </w:rPr>
        <w:t xml:space="preserve"> of</w:t>
      </w:r>
      <w:r w:rsidRPr="0021725A">
        <w:rPr>
          <w:rFonts w:ascii="Times New Roman" w:hAnsi="Times New Roman"/>
          <w:kern w:val="0"/>
          <w:sz w:val="24"/>
          <w:szCs w:val="24"/>
        </w:rPr>
        <w:t xml:space="preserve"> the acid leachate under different conditions. </w:t>
      </w:r>
      <w:r w:rsidR="00BC530E" w:rsidRPr="0021725A">
        <w:rPr>
          <w:rFonts w:ascii="Times New Roman" w:hAnsi="Times New Roman"/>
          <w:kern w:val="0"/>
          <w:sz w:val="24"/>
          <w:szCs w:val="24"/>
        </w:rPr>
        <w:t xml:space="preserve">The leaching rate is the rate of remaining content to the original content.  </w:t>
      </w:r>
      <w:r w:rsidRPr="0021725A">
        <w:rPr>
          <w:rFonts w:ascii="Times New Roman" w:hAnsi="Times New Roman"/>
          <w:kern w:val="0"/>
          <w:sz w:val="24"/>
          <w:szCs w:val="24"/>
        </w:rPr>
        <w:t>Fro</w:t>
      </w:r>
      <w:r>
        <w:rPr>
          <w:rFonts w:ascii="Times New Roman" w:hAnsi="Times New Roman"/>
          <w:color w:val="000000" w:themeColor="text1"/>
          <w:kern w:val="0"/>
          <w:sz w:val="24"/>
          <w:szCs w:val="24"/>
        </w:rPr>
        <w:t xml:space="preserve">m </w:t>
      </w:r>
      <w:r>
        <w:rPr>
          <w:rFonts w:ascii="Times New Roman" w:hAnsi="Times New Roman"/>
          <w:color w:val="0000FF"/>
          <w:kern w:val="0"/>
          <w:sz w:val="24"/>
          <w:szCs w:val="24"/>
        </w:rPr>
        <w:t xml:space="preserve">Table </w:t>
      </w:r>
      <w:r>
        <w:rPr>
          <w:rFonts w:ascii="Times New Roman" w:hAnsi="Times New Roman" w:hint="eastAsia"/>
          <w:color w:val="0000FF"/>
          <w:kern w:val="0"/>
          <w:sz w:val="24"/>
          <w:szCs w:val="24"/>
        </w:rPr>
        <w:t>S</w:t>
      </w:r>
      <w:r>
        <w:rPr>
          <w:rFonts w:ascii="Times New Roman" w:hAnsi="Times New Roman"/>
          <w:color w:val="0000FF"/>
          <w:kern w:val="0"/>
          <w:sz w:val="24"/>
          <w:szCs w:val="24"/>
        </w:rPr>
        <w:t>1</w:t>
      </w:r>
      <w:r>
        <w:rPr>
          <w:rFonts w:ascii="Times New Roman" w:hAnsi="Times New Roman"/>
          <w:color w:val="000000" w:themeColor="text1"/>
          <w:kern w:val="0"/>
          <w:sz w:val="24"/>
          <w:szCs w:val="24"/>
        </w:rPr>
        <w:t xml:space="preserve">, it can be seen that </w:t>
      </w:r>
      <w:r>
        <w:rPr>
          <w:rFonts w:ascii="Times New Roman" w:hAnsi="Times New Roman" w:hint="eastAsia"/>
          <w:color w:val="000000" w:themeColor="text1"/>
          <w:kern w:val="0"/>
          <w:sz w:val="24"/>
          <w:szCs w:val="24"/>
        </w:rPr>
        <w:t>w</w:t>
      </w:r>
      <w:r>
        <w:rPr>
          <w:rFonts w:ascii="Times New Roman" w:hAnsi="Times New Roman"/>
          <w:color w:val="000000" w:themeColor="text1"/>
          <w:kern w:val="0"/>
          <w:sz w:val="24"/>
          <w:szCs w:val="24"/>
        </w:rPr>
        <w:t>hen the</w:t>
      </w:r>
      <w:r>
        <w:rPr>
          <w:rFonts w:ascii="Times New Roman" w:hAnsi="Times New Roman"/>
          <w:color w:val="FFC000"/>
          <w:kern w:val="0"/>
          <w:sz w:val="24"/>
          <w:szCs w:val="24"/>
        </w:rPr>
        <w:t xml:space="preserve"> </w:t>
      </w:r>
      <w:bookmarkStart w:id="9" w:name="OLE_LINK4"/>
      <w:r>
        <w:rPr>
          <w:rFonts w:ascii="Times New Roman" w:hAnsi="Times New Roman"/>
          <w:kern w:val="0"/>
          <w:sz w:val="24"/>
          <w:szCs w:val="24"/>
        </w:rPr>
        <w:t>roasting</w:t>
      </w:r>
      <w:bookmarkEnd w:id="9"/>
      <w:r>
        <w:rPr>
          <w:rFonts w:ascii="Times New Roman" w:hAnsi="Times New Roman"/>
          <w:kern w:val="0"/>
          <w:sz w:val="24"/>
          <w:szCs w:val="24"/>
        </w:rPr>
        <w:t xml:space="preserve"> time was fixed, the higher the roasting temperature, the higher the V concentration in the acid leaching solution.</w:t>
      </w:r>
      <w:r>
        <w:t xml:space="preserve"> </w:t>
      </w:r>
      <w:r>
        <w:rPr>
          <w:rFonts w:ascii="Times New Roman" w:hAnsi="Times New Roman"/>
          <w:kern w:val="0"/>
          <w:sz w:val="24"/>
          <w:szCs w:val="24"/>
        </w:rPr>
        <w:t>Therefore, the roasting temperature was determined to be 900</w:t>
      </w:r>
      <w:r>
        <w:rPr>
          <w:rFonts w:ascii="Times New Roman" w:eastAsia="Times New Roman" w:hAnsi="Times New Roman"/>
          <w:sz w:val="24"/>
          <w:szCs w:val="24"/>
        </w:rPr>
        <w:t>°C</w:t>
      </w:r>
      <w:r>
        <w:rPr>
          <w:rFonts w:ascii="Times New Roman" w:hAnsi="Times New Roman" w:hint="eastAsia"/>
          <w:sz w:val="24"/>
          <w:szCs w:val="24"/>
        </w:rPr>
        <w:t xml:space="preserve">. </w:t>
      </w:r>
      <w:r>
        <w:rPr>
          <w:rFonts w:ascii="Times New Roman" w:hAnsi="Times New Roman" w:hint="eastAsia"/>
          <w:color w:val="000000" w:themeColor="text1"/>
          <w:kern w:val="0"/>
          <w:sz w:val="24"/>
          <w:szCs w:val="24"/>
        </w:rPr>
        <w:t>W</w:t>
      </w:r>
      <w:r>
        <w:rPr>
          <w:rFonts w:ascii="Times New Roman" w:hAnsi="Times New Roman"/>
          <w:color w:val="000000" w:themeColor="text1"/>
          <w:kern w:val="0"/>
          <w:sz w:val="24"/>
          <w:szCs w:val="24"/>
        </w:rPr>
        <w:t>hen the temperature was fixed, the longer the roasting time, the higher the V concentration in the acid leachate.</w:t>
      </w:r>
      <w:r>
        <w:rPr>
          <w:rFonts w:ascii="Times New Roman" w:hAnsi="Times New Roman" w:hint="eastAsia"/>
          <w:color w:val="000000" w:themeColor="text1"/>
          <w:kern w:val="0"/>
          <w:sz w:val="24"/>
          <w:szCs w:val="24"/>
        </w:rPr>
        <w:t xml:space="preserve"> </w:t>
      </w:r>
    </w:p>
    <w:p w14:paraId="7B4A46BC" w14:textId="041CB833" w:rsidR="00583534" w:rsidRPr="0029488B" w:rsidRDefault="00583534" w:rsidP="00D84B02">
      <w:pPr>
        <w:adjustRightInd w:val="0"/>
        <w:snapToGrid w:val="0"/>
        <w:spacing w:line="480" w:lineRule="auto"/>
        <w:ind w:firstLineChars="200" w:firstLine="482"/>
        <w:rPr>
          <w:rFonts w:ascii="Times New Roman" w:hAnsi="Times New Roman"/>
          <w:sz w:val="24"/>
          <w:szCs w:val="24"/>
        </w:rPr>
      </w:pPr>
      <w:r w:rsidRPr="005E7A5F">
        <w:rPr>
          <w:rFonts w:ascii="Times New Roman" w:hAnsi="Times New Roman"/>
          <w:b/>
          <w:color w:val="000000" w:themeColor="text1"/>
          <w:sz w:val="24"/>
          <w:szCs w:val="24"/>
          <w:shd w:val="clear" w:color="auto" w:fill="FFFFFF"/>
        </w:rPr>
        <w:t xml:space="preserve">Table </w:t>
      </w:r>
      <w:r w:rsidRPr="005E7A5F">
        <w:rPr>
          <w:rFonts w:ascii="Times New Roman" w:hAnsi="Times New Roman" w:hint="eastAsia"/>
          <w:b/>
          <w:color w:val="000000" w:themeColor="text1"/>
          <w:sz w:val="24"/>
          <w:szCs w:val="24"/>
          <w:shd w:val="clear" w:color="auto" w:fill="FFFFFF"/>
        </w:rPr>
        <w:t>S</w:t>
      </w:r>
      <w:r w:rsidRPr="005E7A5F">
        <w:rPr>
          <w:rFonts w:ascii="Times New Roman" w:hAnsi="Times New Roman"/>
          <w:b/>
          <w:color w:val="000000" w:themeColor="text1"/>
          <w:sz w:val="24"/>
          <w:szCs w:val="24"/>
          <w:shd w:val="clear" w:color="auto" w:fill="FFFFFF"/>
        </w:rPr>
        <w:t>1</w:t>
      </w:r>
      <w:r w:rsidRPr="005E7A5F">
        <w:rPr>
          <w:rFonts w:ascii="Times New Roman" w:hAnsi="Times New Roman"/>
          <w:color w:val="000000" w:themeColor="text1"/>
          <w:sz w:val="24"/>
          <w:szCs w:val="24"/>
          <w:shd w:val="clear" w:color="auto" w:fill="FFFFFF"/>
        </w:rPr>
        <w:t xml:space="preserve">. </w:t>
      </w:r>
      <w:r w:rsidRPr="005E7A5F">
        <w:rPr>
          <w:rFonts w:ascii="Times New Roman" w:hAnsi="Times New Roman" w:hint="eastAsia"/>
          <w:color w:val="000000" w:themeColor="text1"/>
          <w:sz w:val="24"/>
          <w:szCs w:val="24"/>
          <w:shd w:val="clear" w:color="auto" w:fill="FFFFFF"/>
        </w:rPr>
        <w:t>L</w:t>
      </w:r>
      <w:r w:rsidRPr="005E7A5F">
        <w:rPr>
          <w:rFonts w:ascii="Times New Roman" w:hAnsi="Times New Roman"/>
          <w:color w:val="000000" w:themeColor="text1"/>
          <w:sz w:val="24"/>
          <w:szCs w:val="24"/>
          <w:shd w:val="clear" w:color="auto" w:fill="FFFFFF"/>
        </w:rPr>
        <w:t>eaching r</w:t>
      </w:r>
      <w:r w:rsidRPr="0029488B">
        <w:rPr>
          <w:rFonts w:ascii="Times New Roman" w:hAnsi="Times New Roman"/>
          <w:sz w:val="24"/>
          <w:szCs w:val="24"/>
          <w:shd w:val="clear" w:color="auto" w:fill="FFFFFF"/>
        </w:rPr>
        <w:t xml:space="preserve">ate of </w:t>
      </w:r>
      <w:r w:rsidR="00891B20" w:rsidRPr="0029488B">
        <w:rPr>
          <w:rFonts w:ascii="Times New Roman" w:hAnsi="Times New Roman"/>
          <w:kern w:val="0"/>
          <w:sz w:val="24"/>
          <w:szCs w:val="24"/>
        </w:rPr>
        <w:t>vanadium ions</w:t>
      </w:r>
    </w:p>
    <w:tbl>
      <w:tblPr>
        <w:tblW w:w="3455" w:type="pct"/>
        <w:tblCellMar>
          <w:left w:w="0" w:type="dxa"/>
          <w:right w:w="0" w:type="dxa"/>
        </w:tblCellMar>
        <w:tblLook w:val="04A0" w:firstRow="1" w:lastRow="0" w:firstColumn="1" w:lastColumn="0" w:noHBand="0" w:noVBand="1"/>
      </w:tblPr>
      <w:tblGrid>
        <w:gridCol w:w="3184"/>
        <w:gridCol w:w="2576"/>
      </w:tblGrid>
      <w:tr w:rsidR="0029488B" w14:paraId="20B2A7FD" w14:textId="77777777" w:rsidTr="0029488B">
        <w:trPr>
          <w:trHeight w:val="285"/>
        </w:trPr>
        <w:tc>
          <w:tcPr>
            <w:tcW w:w="2764" w:type="pct"/>
            <w:tcBorders>
              <w:top w:val="single" w:sz="8" w:space="0" w:color="000000"/>
              <w:left w:val="nil"/>
              <w:bottom w:val="single" w:sz="8" w:space="0" w:color="000000"/>
              <w:right w:val="nil"/>
            </w:tcBorders>
            <w:shd w:val="clear" w:color="auto" w:fill="auto"/>
            <w:noWrap/>
            <w:tcMar>
              <w:top w:w="15" w:type="dxa"/>
              <w:left w:w="15" w:type="dxa"/>
              <w:right w:w="15" w:type="dxa"/>
            </w:tcMar>
            <w:vAlign w:val="center"/>
          </w:tcPr>
          <w:p w14:paraId="6B889B52" w14:textId="209A487C" w:rsidR="0029488B" w:rsidRPr="0029488B" w:rsidRDefault="0029488B" w:rsidP="006F54B3">
            <w:pPr>
              <w:widowControl/>
              <w:adjustRightInd w:val="0"/>
              <w:snapToGrid w:val="0"/>
              <w:spacing w:line="360" w:lineRule="auto"/>
              <w:jc w:val="center"/>
              <w:textAlignment w:val="center"/>
              <w:rPr>
                <w:rFonts w:ascii="Times New Roman" w:hAnsi="Times New Roman"/>
                <w:sz w:val="24"/>
                <w:szCs w:val="24"/>
              </w:rPr>
            </w:pPr>
            <w:r w:rsidRPr="0029488B">
              <w:rPr>
                <w:rFonts w:ascii="Times New Roman" w:hAnsi="Times New Roman" w:hint="eastAsia"/>
                <w:sz w:val="24"/>
                <w:szCs w:val="24"/>
              </w:rPr>
              <w:t>T</w:t>
            </w:r>
            <w:r w:rsidRPr="0029488B">
              <w:rPr>
                <w:rFonts w:ascii="Times New Roman" w:hAnsi="Times New Roman"/>
                <w:sz w:val="24"/>
                <w:szCs w:val="24"/>
              </w:rPr>
              <w:t>reatment</w:t>
            </w:r>
          </w:p>
        </w:tc>
        <w:tc>
          <w:tcPr>
            <w:tcW w:w="2236" w:type="pct"/>
            <w:tcBorders>
              <w:top w:val="single" w:sz="8" w:space="0" w:color="000000"/>
              <w:left w:val="nil"/>
              <w:bottom w:val="single" w:sz="8" w:space="0" w:color="000000"/>
              <w:right w:val="nil"/>
            </w:tcBorders>
            <w:shd w:val="clear" w:color="auto" w:fill="auto"/>
            <w:noWrap/>
            <w:tcMar>
              <w:top w:w="15" w:type="dxa"/>
              <w:left w:w="15" w:type="dxa"/>
              <w:right w:w="15" w:type="dxa"/>
            </w:tcMar>
            <w:vAlign w:val="center"/>
          </w:tcPr>
          <w:p w14:paraId="72BB90E5" w14:textId="1EB553DA" w:rsidR="0029488B" w:rsidRPr="0029488B" w:rsidRDefault="0029488B" w:rsidP="005E7A5F">
            <w:pPr>
              <w:widowControl/>
              <w:adjustRightInd w:val="0"/>
              <w:snapToGrid w:val="0"/>
              <w:spacing w:line="360" w:lineRule="auto"/>
              <w:jc w:val="center"/>
              <w:textAlignment w:val="center"/>
              <w:rPr>
                <w:rFonts w:ascii="Times New Roman" w:hAnsi="Times New Roman"/>
                <w:sz w:val="24"/>
                <w:szCs w:val="24"/>
              </w:rPr>
            </w:pPr>
            <w:r w:rsidRPr="0029488B">
              <w:rPr>
                <w:rFonts w:ascii="Times New Roman" w:hAnsi="Times New Roman"/>
                <w:kern w:val="0"/>
                <w:sz w:val="24"/>
                <w:szCs w:val="24"/>
              </w:rPr>
              <w:t>Rate / %</w:t>
            </w:r>
          </w:p>
        </w:tc>
      </w:tr>
      <w:tr w:rsidR="0029488B" w14:paraId="5A82464F" w14:textId="77777777" w:rsidTr="0029488B">
        <w:trPr>
          <w:trHeight w:val="270"/>
        </w:trPr>
        <w:tc>
          <w:tcPr>
            <w:tcW w:w="2764" w:type="pct"/>
            <w:tcBorders>
              <w:top w:val="nil"/>
              <w:left w:val="nil"/>
              <w:bottom w:val="nil"/>
              <w:right w:val="nil"/>
            </w:tcBorders>
            <w:shd w:val="clear" w:color="auto" w:fill="auto"/>
            <w:noWrap/>
            <w:tcMar>
              <w:top w:w="15" w:type="dxa"/>
              <w:left w:w="15" w:type="dxa"/>
              <w:right w:w="15" w:type="dxa"/>
            </w:tcMar>
            <w:vAlign w:val="center"/>
          </w:tcPr>
          <w:p w14:paraId="00E36610" w14:textId="4FFF830D" w:rsidR="0029488B" w:rsidRPr="0029488B" w:rsidRDefault="0029488B" w:rsidP="005E7A5F">
            <w:pPr>
              <w:widowControl/>
              <w:adjustRightInd w:val="0"/>
              <w:snapToGrid w:val="0"/>
              <w:spacing w:line="360" w:lineRule="auto"/>
              <w:jc w:val="center"/>
              <w:textAlignment w:val="center"/>
              <w:rPr>
                <w:rFonts w:ascii="Times New Roman" w:hAnsi="Times New Roman" w:cstheme="minorBidi"/>
                <w:kern w:val="0"/>
                <w:sz w:val="24"/>
                <w:szCs w:val="24"/>
              </w:rPr>
            </w:pPr>
            <w:r w:rsidRPr="0029488B">
              <w:rPr>
                <w:rFonts w:ascii="Times New Roman" w:hAnsi="Times New Roman" w:cstheme="minorBidi"/>
                <w:kern w:val="0"/>
                <w:sz w:val="24"/>
                <w:szCs w:val="24"/>
              </w:rPr>
              <w:t>SC-800</w:t>
            </w:r>
            <w:r w:rsidRPr="0029488B">
              <w:rPr>
                <w:rFonts w:ascii="Times New Roman" w:eastAsiaTheme="minorEastAsia" w:hAnsi="Times New Roman" w:cstheme="minorBidi"/>
                <w:kern w:val="0"/>
                <w:sz w:val="24"/>
                <w:szCs w:val="24"/>
              </w:rPr>
              <w:t>°C-2h after acid leaching</w:t>
            </w:r>
          </w:p>
        </w:tc>
        <w:tc>
          <w:tcPr>
            <w:tcW w:w="2236" w:type="pct"/>
            <w:tcBorders>
              <w:top w:val="nil"/>
              <w:left w:val="nil"/>
              <w:bottom w:val="nil"/>
              <w:right w:val="nil"/>
            </w:tcBorders>
            <w:shd w:val="clear" w:color="auto" w:fill="auto"/>
            <w:noWrap/>
            <w:tcMar>
              <w:top w:w="15" w:type="dxa"/>
              <w:left w:w="15" w:type="dxa"/>
              <w:right w:w="15" w:type="dxa"/>
            </w:tcMar>
            <w:vAlign w:val="center"/>
          </w:tcPr>
          <w:p w14:paraId="2ECF1C6D" w14:textId="235C8E0E" w:rsidR="0029488B" w:rsidRPr="0029488B" w:rsidRDefault="0029488B" w:rsidP="005E7A5F">
            <w:pPr>
              <w:widowControl/>
              <w:adjustRightInd w:val="0"/>
              <w:snapToGrid w:val="0"/>
              <w:spacing w:line="360" w:lineRule="auto"/>
              <w:jc w:val="center"/>
              <w:textAlignment w:val="center"/>
              <w:rPr>
                <w:rFonts w:ascii="Times New Roman" w:hAnsi="Times New Roman"/>
                <w:sz w:val="24"/>
                <w:szCs w:val="24"/>
              </w:rPr>
            </w:pPr>
            <w:r w:rsidRPr="0029488B">
              <w:rPr>
                <w:rFonts w:ascii="Times New Roman" w:hAnsi="Times New Roman"/>
                <w:kern w:val="0"/>
                <w:sz w:val="24"/>
                <w:szCs w:val="24"/>
              </w:rPr>
              <w:t>19.80</w:t>
            </w:r>
          </w:p>
        </w:tc>
      </w:tr>
      <w:tr w:rsidR="0029488B" w14:paraId="0C9F39E4" w14:textId="77777777" w:rsidTr="0029488B">
        <w:trPr>
          <w:trHeight w:val="270"/>
        </w:trPr>
        <w:tc>
          <w:tcPr>
            <w:tcW w:w="2764" w:type="pct"/>
            <w:tcBorders>
              <w:top w:val="nil"/>
              <w:left w:val="nil"/>
              <w:bottom w:val="nil"/>
              <w:right w:val="nil"/>
            </w:tcBorders>
            <w:shd w:val="clear" w:color="auto" w:fill="auto"/>
            <w:noWrap/>
            <w:tcMar>
              <w:top w:w="15" w:type="dxa"/>
              <w:left w:w="15" w:type="dxa"/>
              <w:right w:w="15" w:type="dxa"/>
            </w:tcMar>
            <w:vAlign w:val="center"/>
          </w:tcPr>
          <w:p w14:paraId="52D01954" w14:textId="39C5C6E6" w:rsidR="0029488B" w:rsidRPr="0029488B" w:rsidRDefault="0029488B" w:rsidP="005E7A5F">
            <w:pPr>
              <w:widowControl/>
              <w:adjustRightInd w:val="0"/>
              <w:snapToGrid w:val="0"/>
              <w:spacing w:line="360" w:lineRule="auto"/>
              <w:jc w:val="center"/>
              <w:textAlignment w:val="center"/>
              <w:rPr>
                <w:rFonts w:ascii="Times New Roman" w:hAnsi="Times New Roman" w:cstheme="minorBidi"/>
                <w:kern w:val="0"/>
                <w:sz w:val="24"/>
                <w:szCs w:val="24"/>
              </w:rPr>
            </w:pPr>
            <w:r w:rsidRPr="0029488B">
              <w:rPr>
                <w:rFonts w:ascii="Times New Roman" w:hAnsi="Times New Roman" w:cstheme="minorBidi"/>
                <w:kern w:val="0"/>
                <w:sz w:val="24"/>
                <w:szCs w:val="24"/>
              </w:rPr>
              <w:t>SC-850</w:t>
            </w:r>
            <w:r w:rsidRPr="0029488B">
              <w:rPr>
                <w:rFonts w:ascii="Times New Roman" w:eastAsiaTheme="minorEastAsia" w:hAnsi="Times New Roman" w:cstheme="minorBidi"/>
                <w:kern w:val="0"/>
                <w:sz w:val="24"/>
                <w:szCs w:val="24"/>
              </w:rPr>
              <w:t>°C-2h after acid leaching</w:t>
            </w:r>
          </w:p>
        </w:tc>
        <w:tc>
          <w:tcPr>
            <w:tcW w:w="2236" w:type="pct"/>
            <w:tcBorders>
              <w:top w:val="nil"/>
              <w:left w:val="nil"/>
              <w:bottom w:val="nil"/>
              <w:right w:val="nil"/>
            </w:tcBorders>
            <w:shd w:val="clear" w:color="auto" w:fill="auto"/>
            <w:noWrap/>
            <w:tcMar>
              <w:top w:w="15" w:type="dxa"/>
              <w:left w:w="15" w:type="dxa"/>
              <w:right w:w="15" w:type="dxa"/>
            </w:tcMar>
            <w:vAlign w:val="center"/>
          </w:tcPr>
          <w:p w14:paraId="14689EC2" w14:textId="317364A0" w:rsidR="0029488B" w:rsidRPr="0029488B" w:rsidRDefault="0029488B" w:rsidP="005E7A5F">
            <w:pPr>
              <w:widowControl/>
              <w:adjustRightInd w:val="0"/>
              <w:snapToGrid w:val="0"/>
              <w:spacing w:line="360" w:lineRule="auto"/>
              <w:jc w:val="center"/>
              <w:textAlignment w:val="center"/>
              <w:rPr>
                <w:rFonts w:ascii="Times New Roman" w:hAnsi="Times New Roman"/>
                <w:sz w:val="24"/>
                <w:szCs w:val="24"/>
              </w:rPr>
            </w:pPr>
            <w:r w:rsidRPr="0029488B">
              <w:rPr>
                <w:rFonts w:ascii="Times New Roman" w:hAnsi="Times New Roman"/>
                <w:kern w:val="0"/>
                <w:sz w:val="24"/>
                <w:szCs w:val="24"/>
              </w:rPr>
              <w:t>19.91</w:t>
            </w:r>
          </w:p>
        </w:tc>
      </w:tr>
      <w:tr w:rsidR="0029488B" w14:paraId="7F2DFD14" w14:textId="77777777" w:rsidTr="0029488B">
        <w:trPr>
          <w:trHeight w:val="270"/>
        </w:trPr>
        <w:tc>
          <w:tcPr>
            <w:tcW w:w="2764" w:type="pct"/>
            <w:tcBorders>
              <w:top w:val="nil"/>
              <w:left w:val="nil"/>
              <w:bottom w:val="nil"/>
              <w:right w:val="nil"/>
            </w:tcBorders>
            <w:shd w:val="clear" w:color="auto" w:fill="auto"/>
            <w:noWrap/>
            <w:tcMar>
              <w:top w:w="15" w:type="dxa"/>
              <w:left w:w="15" w:type="dxa"/>
              <w:right w:w="15" w:type="dxa"/>
            </w:tcMar>
            <w:vAlign w:val="center"/>
          </w:tcPr>
          <w:p w14:paraId="537CA942" w14:textId="1BAECD05" w:rsidR="0029488B" w:rsidRPr="0029488B" w:rsidRDefault="0029488B" w:rsidP="005E7A5F">
            <w:pPr>
              <w:widowControl/>
              <w:adjustRightInd w:val="0"/>
              <w:snapToGrid w:val="0"/>
              <w:spacing w:line="360" w:lineRule="auto"/>
              <w:jc w:val="center"/>
              <w:textAlignment w:val="center"/>
              <w:rPr>
                <w:rFonts w:ascii="Times New Roman" w:hAnsi="Times New Roman" w:cstheme="minorBidi"/>
                <w:kern w:val="0"/>
                <w:sz w:val="24"/>
                <w:szCs w:val="24"/>
              </w:rPr>
            </w:pPr>
            <w:r w:rsidRPr="0029488B">
              <w:rPr>
                <w:rFonts w:ascii="Times New Roman" w:hAnsi="Times New Roman" w:cstheme="minorBidi"/>
                <w:kern w:val="0"/>
                <w:sz w:val="24"/>
                <w:szCs w:val="24"/>
              </w:rPr>
              <w:lastRenderedPageBreak/>
              <w:t>SC-900</w:t>
            </w:r>
            <w:r w:rsidRPr="0029488B">
              <w:rPr>
                <w:rFonts w:ascii="Times New Roman" w:eastAsiaTheme="minorEastAsia" w:hAnsi="Times New Roman" w:cstheme="minorBidi"/>
                <w:kern w:val="0"/>
                <w:sz w:val="24"/>
                <w:szCs w:val="24"/>
              </w:rPr>
              <w:t>°C-2h after acid leaching</w:t>
            </w:r>
          </w:p>
        </w:tc>
        <w:tc>
          <w:tcPr>
            <w:tcW w:w="2236" w:type="pct"/>
            <w:tcBorders>
              <w:top w:val="nil"/>
              <w:left w:val="nil"/>
              <w:bottom w:val="nil"/>
              <w:right w:val="nil"/>
            </w:tcBorders>
            <w:shd w:val="clear" w:color="auto" w:fill="auto"/>
            <w:noWrap/>
            <w:tcMar>
              <w:top w:w="15" w:type="dxa"/>
              <w:left w:w="15" w:type="dxa"/>
              <w:right w:w="15" w:type="dxa"/>
            </w:tcMar>
            <w:vAlign w:val="center"/>
          </w:tcPr>
          <w:p w14:paraId="7076231D" w14:textId="0D7D757C" w:rsidR="0029488B" w:rsidRPr="0029488B" w:rsidRDefault="0029488B" w:rsidP="005E7A5F">
            <w:pPr>
              <w:widowControl/>
              <w:adjustRightInd w:val="0"/>
              <w:snapToGrid w:val="0"/>
              <w:spacing w:line="360" w:lineRule="auto"/>
              <w:jc w:val="center"/>
              <w:textAlignment w:val="center"/>
              <w:rPr>
                <w:rFonts w:ascii="Times New Roman" w:hAnsi="Times New Roman"/>
                <w:sz w:val="24"/>
                <w:szCs w:val="24"/>
              </w:rPr>
            </w:pPr>
            <w:r w:rsidRPr="0029488B">
              <w:rPr>
                <w:rFonts w:ascii="Times New Roman" w:hAnsi="Times New Roman"/>
                <w:kern w:val="0"/>
                <w:sz w:val="24"/>
                <w:szCs w:val="24"/>
              </w:rPr>
              <w:t>32.23</w:t>
            </w:r>
          </w:p>
        </w:tc>
      </w:tr>
      <w:tr w:rsidR="0029488B" w14:paraId="4A7BE374" w14:textId="77777777" w:rsidTr="0029488B">
        <w:trPr>
          <w:trHeight w:val="270"/>
        </w:trPr>
        <w:tc>
          <w:tcPr>
            <w:tcW w:w="2764" w:type="pct"/>
            <w:tcBorders>
              <w:top w:val="nil"/>
              <w:left w:val="nil"/>
              <w:bottom w:val="nil"/>
              <w:right w:val="nil"/>
            </w:tcBorders>
            <w:shd w:val="clear" w:color="auto" w:fill="auto"/>
            <w:noWrap/>
            <w:tcMar>
              <w:top w:w="15" w:type="dxa"/>
              <w:left w:w="15" w:type="dxa"/>
              <w:right w:w="15" w:type="dxa"/>
            </w:tcMar>
            <w:vAlign w:val="center"/>
          </w:tcPr>
          <w:p w14:paraId="2252D7B0" w14:textId="2CEF3089" w:rsidR="0029488B" w:rsidRPr="0029488B" w:rsidRDefault="0029488B" w:rsidP="005E7A5F">
            <w:pPr>
              <w:widowControl/>
              <w:adjustRightInd w:val="0"/>
              <w:snapToGrid w:val="0"/>
              <w:spacing w:line="360" w:lineRule="auto"/>
              <w:jc w:val="center"/>
              <w:textAlignment w:val="center"/>
              <w:rPr>
                <w:rFonts w:ascii="Times New Roman" w:hAnsi="Times New Roman" w:cstheme="minorBidi"/>
                <w:kern w:val="0"/>
                <w:sz w:val="24"/>
                <w:szCs w:val="24"/>
              </w:rPr>
            </w:pPr>
            <w:r w:rsidRPr="0029488B">
              <w:rPr>
                <w:rFonts w:ascii="Times New Roman" w:hAnsi="Times New Roman" w:cstheme="minorBidi"/>
                <w:kern w:val="0"/>
                <w:sz w:val="24"/>
                <w:szCs w:val="24"/>
              </w:rPr>
              <w:t>SC-900</w:t>
            </w:r>
            <w:r w:rsidRPr="0029488B">
              <w:rPr>
                <w:rFonts w:ascii="Times New Roman" w:eastAsiaTheme="minorEastAsia" w:hAnsi="Times New Roman" w:cstheme="minorBidi"/>
                <w:kern w:val="0"/>
                <w:sz w:val="24"/>
                <w:szCs w:val="24"/>
              </w:rPr>
              <w:t>°C-</w:t>
            </w:r>
            <w:r w:rsidRPr="0029488B">
              <w:rPr>
                <w:rFonts w:ascii="Times New Roman" w:hAnsi="Times New Roman" w:cstheme="minorBidi"/>
                <w:kern w:val="0"/>
                <w:sz w:val="24"/>
                <w:szCs w:val="24"/>
              </w:rPr>
              <w:t>1h</w:t>
            </w:r>
            <w:r w:rsidRPr="0029488B">
              <w:rPr>
                <w:rFonts w:ascii="Times New Roman" w:eastAsiaTheme="minorEastAsia" w:hAnsi="Times New Roman" w:cstheme="minorBidi"/>
                <w:kern w:val="0"/>
                <w:sz w:val="24"/>
                <w:szCs w:val="24"/>
              </w:rPr>
              <w:t xml:space="preserve"> after acid leaching</w:t>
            </w:r>
          </w:p>
        </w:tc>
        <w:tc>
          <w:tcPr>
            <w:tcW w:w="2236" w:type="pct"/>
            <w:tcBorders>
              <w:top w:val="nil"/>
              <w:left w:val="nil"/>
              <w:bottom w:val="nil"/>
              <w:right w:val="nil"/>
            </w:tcBorders>
            <w:shd w:val="clear" w:color="auto" w:fill="auto"/>
            <w:noWrap/>
            <w:tcMar>
              <w:top w:w="15" w:type="dxa"/>
              <w:left w:w="15" w:type="dxa"/>
              <w:right w:w="15" w:type="dxa"/>
            </w:tcMar>
            <w:vAlign w:val="center"/>
          </w:tcPr>
          <w:p w14:paraId="5F29324F" w14:textId="1EECEA60" w:rsidR="0029488B" w:rsidRPr="0029488B" w:rsidRDefault="0029488B" w:rsidP="005E7A5F">
            <w:pPr>
              <w:widowControl/>
              <w:adjustRightInd w:val="0"/>
              <w:snapToGrid w:val="0"/>
              <w:spacing w:line="360" w:lineRule="auto"/>
              <w:jc w:val="center"/>
              <w:textAlignment w:val="center"/>
              <w:rPr>
                <w:rFonts w:ascii="Times New Roman" w:hAnsi="Times New Roman"/>
                <w:sz w:val="24"/>
                <w:szCs w:val="24"/>
              </w:rPr>
            </w:pPr>
            <w:r w:rsidRPr="0029488B">
              <w:rPr>
                <w:rFonts w:ascii="Times New Roman" w:hAnsi="Times New Roman"/>
                <w:kern w:val="0"/>
                <w:sz w:val="24"/>
                <w:szCs w:val="24"/>
              </w:rPr>
              <w:t>16.12</w:t>
            </w:r>
          </w:p>
        </w:tc>
      </w:tr>
      <w:tr w:rsidR="0029488B" w14:paraId="2D8B986D" w14:textId="77777777" w:rsidTr="0029488B">
        <w:trPr>
          <w:trHeight w:val="285"/>
        </w:trPr>
        <w:tc>
          <w:tcPr>
            <w:tcW w:w="2764" w:type="pct"/>
            <w:tcBorders>
              <w:top w:val="nil"/>
              <w:left w:val="nil"/>
              <w:bottom w:val="single" w:sz="8" w:space="0" w:color="000000"/>
              <w:right w:val="nil"/>
            </w:tcBorders>
            <w:shd w:val="clear" w:color="auto" w:fill="auto"/>
            <w:noWrap/>
            <w:tcMar>
              <w:top w:w="15" w:type="dxa"/>
              <w:left w:w="15" w:type="dxa"/>
              <w:right w:w="15" w:type="dxa"/>
            </w:tcMar>
            <w:vAlign w:val="center"/>
          </w:tcPr>
          <w:p w14:paraId="0DD1C26B" w14:textId="19545A6F" w:rsidR="0029488B" w:rsidRPr="0029488B" w:rsidRDefault="0029488B" w:rsidP="005E7A5F">
            <w:pPr>
              <w:widowControl/>
              <w:adjustRightInd w:val="0"/>
              <w:snapToGrid w:val="0"/>
              <w:spacing w:line="360" w:lineRule="auto"/>
              <w:jc w:val="center"/>
              <w:textAlignment w:val="center"/>
              <w:rPr>
                <w:rFonts w:ascii="Times New Roman" w:hAnsi="Times New Roman" w:cstheme="minorBidi"/>
                <w:kern w:val="0"/>
                <w:sz w:val="24"/>
                <w:szCs w:val="24"/>
              </w:rPr>
            </w:pPr>
            <w:r w:rsidRPr="0029488B">
              <w:rPr>
                <w:rFonts w:ascii="Times New Roman" w:hAnsi="Times New Roman" w:cstheme="minorBidi"/>
                <w:kern w:val="0"/>
                <w:sz w:val="24"/>
                <w:szCs w:val="24"/>
              </w:rPr>
              <w:t>SC-900</w:t>
            </w:r>
            <w:r w:rsidRPr="0029488B">
              <w:rPr>
                <w:rFonts w:ascii="Times New Roman" w:eastAsiaTheme="minorEastAsia" w:hAnsi="Times New Roman" w:cstheme="minorBidi"/>
                <w:kern w:val="0"/>
                <w:sz w:val="24"/>
                <w:szCs w:val="24"/>
              </w:rPr>
              <w:t>°C-</w:t>
            </w:r>
            <w:r w:rsidRPr="0029488B">
              <w:rPr>
                <w:rFonts w:ascii="Times New Roman" w:hAnsi="Times New Roman" w:cstheme="minorBidi"/>
                <w:kern w:val="0"/>
                <w:sz w:val="24"/>
                <w:szCs w:val="24"/>
              </w:rPr>
              <w:t xml:space="preserve">3h </w:t>
            </w:r>
            <w:r w:rsidRPr="0029488B">
              <w:rPr>
                <w:rFonts w:ascii="Times New Roman" w:eastAsiaTheme="minorEastAsia" w:hAnsi="Times New Roman" w:cstheme="minorBidi"/>
                <w:kern w:val="0"/>
                <w:sz w:val="24"/>
                <w:szCs w:val="24"/>
              </w:rPr>
              <w:t>after acid leaching</w:t>
            </w:r>
          </w:p>
        </w:tc>
        <w:tc>
          <w:tcPr>
            <w:tcW w:w="2236" w:type="pct"/>
            <w:tcBorders>
              <w:top w:val="nil"/>
              <w:left w:val="nil"/>
              <w:bottom w:val="single" w:sz="8" w:space="0" w:color="000000"/>
              <w:right w:val="nil"/>
            </w:tcBorders>
            <w:shd w:val="clear" w:color="auto" w:fill="auto"/>
            <w:noWrap/>
            <w:tcMar>
              <w:top w:w="15" w:type="dxa"/>
              <w:left w:w="15" w:type="dxa"/>
              <w:right w:w="15" w:type="dxa"/>
            </w:tcMar>
            <w:vAlign w:val="center"/>
          </w:tcPr>
          <w:p w14:paraId="431C3E37" w14:textId="4367BEEC" w:rsidR="0029488B" w:rsidRPr="0029488B" w:rsidRDefault="0029488B" w:rsidP="005E7A5F">
            <w:pPr>
              <w:widowControl/>
              <w:adjustRightInd w:val="0"/>
              <w:snapToGrid w:val="0"/>
              <w:spacing w:line="360" w:lineRule="auto"/>
              <w:jc w:val="center"/>
              <w:textAlignment w:val="center"/>
              <w:rPr>
                <w:rFonts w:ascii="Times New Roman" w:hAnsi="Times New Roman"/>
                <w:sz w:val="24"/>
                <w:szCs w:val="24"/>
              </w:rPr>
            </w:pPr>
            <w:r w:rsidRPr="0029488B">
              <w:rPr>
                <w:rFonts w:ascii="Times New Roman" w:hAnsi="Times New Roman"/>
                <w:kern w:val="0"/>
                <w:sz w:val="24"/>
                <w:szCs w:val="24"/>
              </w:rPr>
              <w:t>35.92</w:t>
            </w:r>
          </w:p>
        </w:tc>
      </w:tr>
    </w:tbl>
    <w:p w14:paraId="282B52A4" w14:textId="77777777" w:rsidR="005C0698" w:rsidRDefault="005C0698">
      <w:pPr>
        <w:widowControl/>
        <w:adjustRightInd w:val="0"/>
        <w:snapToGrid w:val="0"/>
        <w:spacing w:line="480" w:lineRule="auto"/>
        <w:ind w:firstLineChars="200" w:firstLine="420"/>
        <w:rPr>
          <w:rFonts w:ascii="Times New Roman" w:hAnsi="Times New Roman"/>
          <w:color w:val="000000" w:themeColor="text1"/>
          <w:szCs w:val="21"/>
        </w:rPr>
      </w:pPr>
    </w:p>
    <w:p w14:paraId="210E24E9" w14:textId="77777777" w:rsidR="00BA4030" w:rsidRDefault="00345340">
      <w:pPr>
        <w:pStyle w:val="EndNoteBibliography"/>
        <w:adjustRightInd w:val="0"/>
        <w:snapToGrid w:val="0"/>
        <w:spacing w:line="480" w:lineRule="auto"/>
        <w:ind w:left="315" w:hangingChars="150" w:hanging="315"/>
        <w:rPr>
          <w:rFonts w:ascii="Times New Roman" w:hAnsi="Times New Roman" w:cs="Times New Roman"/>
          <w:sz w:val="21"/>
          <w:szCs w:val="21"/>
        </w:rPr>
      </w:pPr>
      <w:r>
        <w:rPr>
          <w:rFonts w:ascii="Times New Roman" w:hAnsi="Times New Roman" w:cs="Times New Roman"/>
          <w:color w:val="000000" w:themeColor="text1"/>
          <w:sz w:val="21"/>
          <w:szCs w:val="21"/>
        </w:rPr>
        <w:fldChar w:fldCharType="begin"/>
      </w:r>
      <w:r w:rsidR="00561801">
        <w:rPr>
          <w:rFonts w:ascii="Times New Roman" w:hAnsi="Times New Roman" w:cs="Times New Roman"/>
          <w:color w:val="000000" w:themeColor="text1"/>
          <w:sz w:val="21"/>
          <w:szCs w:val="21"/>
        </w:rPr>
        <w:instrText xml:space="preserve"> ADDIN EN.REFLIST </w:instrText>
      </w:r>
      <w:r>
        <w:rPr>
          <w:rFonts w:ascii="Times New Roman" w:hAnsi="Times New Roman" w:cs="Times New Roman"/>
          <w:color w:val="000000" w:themeColor="text1"/>
          <w:sz w:val="21"/>
          <w:szCs w:val="21"/>
        </w:rPr>
        <w:fldChar w:fldCharType="separate"/>
      </w:r>
      <w:r w:rsidR="00BF15C6">
        <w:rPr>
          <w:rFonts w:ascii="Times New Roman" w:hAnsi="Times New Roman" w:cs="Times New Roman"/>
          <w:sz w:val="21"/>
          <w:szCs w:val="21"/>
        </w:rPr>
        <w:t xml:space="preserve">[1] X. Wang, </w:t>
      </w:r>
      <w:r w:rsidR="00587D8A">
        <w:rPr>
          <w:rFonts w:ascii="Times New Roman" w:hAnsi="Times New Roman" w:cs="Times New Roman"/>
          <w:sz w:val="21"/>
          <w:szCs w:val="21"/>
        </w:rPr>
        <w:t>H. Lin, Y.B. Dong, and G.Y. Li</w:t>
      </w:r>
      <w:r w:rsidR="00561801">
        <w:rPr>
          <w:rFonts w:ascii="Times New Roman" w:hAnsi="Times New Roman" w:cs="Times New Roman"/>
          <w:sz w:val="21"/>
          <w:szCs w:val="21"/>
        </w:rPr>
        <w:t xml:space="preserve">, Bioleaching of vanadium from barren stone coal and its effect on the transition of vanadium speciation and mineral phase, </w:t>
      </w:r>
      <w:r w:rsidR="00561801" w:rsidRPr="00BF15C6">
        <w:rPr>
          <w:rFonts w:ascii="Times New Roman" w:hAnsi="Times New Roman" w:cs="Times New Roman"/>
          <w:i/>
          <w:sz w:val="21"/>
          <w:szCs w:val="21"/>
        </w:rPr>
        <w:t>In</w:t>
      </w:r>
      <w:r w:rsidR="00561801" w:rsidRPr="00BF15C6">
        <w:rPr>
          <w:rFonts w:ascii="Times New Roman" w:hAnsi="Times New Roman" w:cs="Times New Roman" w:hint="eastAsia"/>
          <w:i/>
          <w:sz w:val="21"/>
          <w:szCs w:val="21"/>
        </w:rPr>
        <w:t>t</w:t>
      </w:r>
      <w:r w:rsidR="00561801" w:rsidRPr="00BF15C6">
        <w:rPr>
          <w:rFonts w:ascii="Times New Roman" w:hAnsi="Times New Roman" w:cs="Times New Roman"/>
          <w:i/>
          <w:sz w:val="21"/>
          <w:szCs w:val="21"/>
        </w:rPr>
        <w:t>. J. Min</w:t>
      </w:r>
      <w:r w:rsidR="00587D8A">
        <w:rPr>
          <w:rFonts w:ascii="Times New Roman" w:hAnsi="Times New Roman" w:cs="Times New Roman"/>
          <w:i/>
          <w:sz w:val="21"/>
          <w:szCs w:val="21"/>
        </w:rPr>
        <w:t>er</w:t>
      </w:r>
      <w:r w:rsidR="00561801" w:rsidRPr="00BF15C6">
        <w:rPr>
          <w:rFonts w:ascii="Times New Roman" w:hAnsi="Times New Roman" w:cs="Times New Roman"/>
          <w:i/>
          <w:sz w:val="21"/>
          <w:szCs w:val="21"/>
        </w:rPr>
        <w:t>. Met</w:t>
      </w:r>
      <w:r w:rsidR="00587D8A">
        <w:rPr>
          <w:rFonts w:ascii="Times New Roman" w:hAnsi="Times New Roman" w:cs="Times New Roman"/>
          <w:i/>
          <w:sz w:val="21"/>
          <w:szCs w:val="21"/>
        </w:rPr>
        <w:t>all</w:t>
      </w:r>
      <w:r w:rsidR="00561801" w:rsidRPr="00BF15C6">
        <w:rPr>
          <w:rFonts w:ascii="Times New Roman" w:hAnsi="Times New Roman" w:cs="Times New Roman"/>
          <w:i/>
          <w:sz w:val="21"/>
          <w:szCs w:val="21"/>
        </w:rPr>
        <w:t>. Mater</w:t>
      </w:r>
      <w:r w:rsidR="00587D8A">
        <w:rPr>
          <w:rFonts w:ascii="Times New Roman" w:hAnsi="Times New Roman" w:cs="Times New Roman"/>
          <w:i/>
          <w:sz w:val="21"/>
          <w:szCs w:val="21"/>
        </w:rPr>
        <w:t>.</w:t>
      </w:r>
      <w:r w:rsidR="00BF15C6">
        <w:rPr>
          <w:rFonts w:ascii="Times New Roman" w:hAnsi="Times New Roman" w:cs="Times New Roman"/>
          <w:sz w:val="21"/>
          <w:szCs w:val="21"/>
        </w:rPr>
        <w:t>,</w:t>
      </w:r>
      <w:r w:rsidR="00561801">
        <w:rPr>
          <w:rFonts w:ascii="Times New Roman" w:hAnsi="Times New Roman" w:cs="Times New Roman"/>
          <w:sz w:val="21"/>
          <w:szCs w:val="21"/>
        </w:rPr>
        <w:t xml:space="preserve"> 25</w:t>
      </w:r>
      <w:r w:rsidR="00587D8A">
        <w:rPr>
          <w:rFonts w:ascii="Times New Roman" w:hAnsi="Times New Roman" w:cs="Times New Roman"/>
          <w:sz w:val="21"/>
          <w:szCs w:val="21"/>
        </w:rPr>
        <w:t>(2018), p</w:t>
      </w:r>
      <w:r w:rsidR="00BF15C6">
        <w:rPr>
          <w:rFonts w:ascii="Times New Roman" w:hAnsi="Times New Roman" w:cs="Times New Roman"/>
          <w:sz w:val="21"/>
          <w:szCs w:val="21"/>
        </w:rPr>
        <w:t xml:space="preserve">. </w:t>
      </w:r>
      <w:r w:rsidR="00561801">
        <w:rPr>
          <w:rFonts w:ascii="Times New Roman" w:hAnsi="Times New Roman" w:cs="Times New Roman"/>
          <w:sz w:val="21"/>
          <w:szCs w:val="21"/>
        </w:rPr>
        <w:t>253.</w:t>
      </w:r>
    </w:p>
    <w:p w14:paraId="36AAD57D" w14:textId="77777777" w:rsidR="00BA4030" w:rsidRDefault="00345340">
      <w:pPr>
        <w:widowControl/>
        <w:adjustRightInd w:val="0"/>
        <w:snapToGrid w:val="0"/>
        <w:spacing w:line="480" w:lineRule="auto"/>
        <w:ind w:firstLineChars="200" w:firstLine="420"/>
        <w:rPr>
          <w:rFonts w:ascii="Times New Roman" w:hAnsi="Times New Roman"/>
          <w:color w:val="000000" w:themeColor="text1"/>
          <w:szCs w:val="21"/>
        </w:rPr>
      </w:pPr>
      <w:r>
        <w:rPr>
          <w:rFonts w:ascii="Times New Roman" w:hAnsi="Times New Roman"/>
          <w:color w:val="000000" w:themeColor="text1"/>
          <w:szCs w:val="21"/>
        </w:rPr>
        <w:fldChar w:fldCharType="end"/>
      </w:r>
    </w:p>
    <w:sectPr w:rsidR="00BA4030" w:rsidSect="00A0446B">
      <w:footerReference w:type="default" r:id="rId16"/>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7254" w14:textId="77777777" w:rsidR="000B209E" w:rsidRDefault="000B209E">
      <w:r>
        <w:separator/>
      </w:r>
    </w:p>
  </w:endnote>
  <w:endnote w:type="continuationSeparator" w:id="0">
    <w:p w14:paraId="24B969A2" w14:textId="77777777" w:rsidR="000B209E" w:rsidRDefault="000B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7657" w14:textId="41E56E6D" w:rsidR="00A0446B" w:rsidRPr="00A0446B" w:rsidRDefault="00A0446B">
    <w:pPr>
      <w:pStyle w:val="a7"/>
      <w:jc w:val="center"/>
      <w:rPr>
        <w:rFonts w:ascii="Times New Roman" w:hAnsi="Times New Roman"/>
        <w:caps/>
        <w:noProof/>
      </w:rPr>
    </w:pPr>
    <w:r w:rsidRPr="00A0446B">
      <w:rPr>
        <w:rFonts w:ascii="Times New Roman" w:hAnsi="Times New Roman"/>
        <w:caps/>
      </w:rPr>
      <w:fldChar w:fldCharType="begin"/>
    </w:r>
    <w:r w:rsidRPr="00A0446B">
      <w:rPr>
        <w:rFonts w:ascii="Times New Roman" w:hAnsi="Times New Roman"/>
        <w:caps/>
      </w:rPr>
      <w:instrText xml:space="preserve"> PAGE   \* MERGEFORMAT </w:instrText>
    </w:r>
    <w:r w:rsidRPr="00A0446B">
      <w:rPr>
        <w:rFonts w:ascii="Times New Roman" w:hAnsi="Times New Roman"/>
        <w:caps/>
      </w:rPr>
      <w:fldChar w:fldCharType="separate"/>
    </w:r>
    <w:r w:rsidR="00531C3D">
      <w:rPr>
        <w:rFonts w:ascii="Times New Roman" w:hAnsi="Times New Roman"/>
        <w:caps/>
        <w:noProof/>
      </w:rPr>
      <w:t>1</w:t>
    </w:r>
    <w:r w:rsidRPr="00A0446B">
      <w:rPr>
        <w:rFonts w:ascii="Times New Roman" w:hAnsi="Times New Roman"/>
        <w:caps/>
        <w:noProof/>
      </w:rPr>
      <w:fldChar w:fldCharType="end"/>
    </w:r>
  </w:p>
  <w:p w14:paraId="00613892" w14:textId="77777777" w:rsidR="00BA4030" w:rsidRDefault="00BA40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079E5" w14:textId="77777777" w:rsidR="000B209E" w:rsidRDefault="000B209E">
      <w:r>
        <w:separator/>
      </w:r>
    </w:p>
  </w:footnote>
  <w:footnote w:type="continuationSeparator" w:id="0">
    <w:p w14:paraId="12DB5F56" w14:textId="77777777" w:rsidR="000B209E" w:rsidRDefault="000B2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A0MDW1NAQSJhaGBko6SsGpxcWZ+XkgBYaGtQCQjGyELQAAAA=="/>
    <w:docVar w:name="EN.Layout" w:val="&lt;ENLayout&gt;&lt;Style&gt;Renewable Energ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9789F"/>
    <w:rsid w:val="000031A7"/>
    <w:rsid w:val="00035868"/>
    <w:rsid w:val="00047494"/>
    <w:rsid w:val="00051756"/>
    <w:rsid w:val="00060CB6"/>
    <w:rsid w:val="00065884"/>
    <w:rsid w:val="00065E5E"/>
    <w:rsid w:val="00080476"/>
    <w:rsid w:val="00086C62"/>
    <w:rsid w:val="000B209E"/>
    <w:rsid w:val="000B3568"/>
    <w:rsid w:val="000C7EA7"/>
    <w:rsid w:val="000D3A6A"/>
    <w:rsid w:val="000D441F"/>
    <w:rsid w:val="000E262C"/>
    <w:rsid w:val="000F1527"/>
    <w:rsid w:val="000F1FC6"/>
    <w:rsid w:val="000F63B4"/>
    <w:rsid w:val="00100C5F"/>
    <w:rsid w:val="00107AE2"/>
    <w:rsid w:val="00107B07"/>
    <w:rsid w:val="00114ADC"/>
    <w:rsid w:val="00126C0F"/>
    <w:rsid w:val="00146C0B"/>
    <w:rsid w:val="00166964"/>
    <w:rsid w:val="0016725D"/>
    <w:rsid w:val="00170097"/>
    <w:rsid w:val="00172B79"/>
    <w:rsid w:val="001879ED"/>
    <w:rsid w:val="0019331E"/>
    <w:rsid w:val="001B7965"/>
    <w:rsid w:val="001C19CF"/>
    <w:rsid w:val="001C2C0F"/>
    <w:rsid w:val="001F1610"/>
    <w:rsid w:val="001F1BD7"/>
    <w:rsid w:val="0020528E"/>
    <w:rsid w:val="0020580C"/>
    <w:rsid w:val="002079CC"/>
    <w:rsid w:val="0021013A"/>
    <w:rsid w:val="00211962"/>
    <w:rsid w:val="00213AC1"/>
    <w:rsid w:val="0021725A"/>
    <w:rsid w:val="00240182"/>
    <w:rsid w:val="00252130"/>
    <w:rsid w:val="00253AFA"/>
    <w:rsid w:val="00254971"/>
    <w:rsid w:val="00264585"/>
    <w:rsid w:val="0027459D"/>
    <w:rsid w:val="0029488B"/>
    <w:rsid w:val="00294B44"/>
    <w:rsid w:val="0029760E"/>
    <w:rsid w:val="002B342C"/>
    <w:rsid w:val="002B6A1A"/>
    <w:rsid w:val="002F6B42"/>
    <w:rsid w:val="002F7E77"/>
    <w:rsid w:val="003009EF"/>
    <w:rsid w:val="00320CA2"/>
    <w:rsid w:val="003341C9"/>
    <w:rsid w:val="003417AA"/>
    <w:rsid w:val="00345340"/>
    <w:rsid w:val="00355859"/>
    <w:rsid w:val="00366E55"/>
    <w:rsid w:val="0038379E"/>
    <w:rsid w:val="003A7EB1"/>
    <w:rsid w:val="003B5B88"/>
    <w:rsid w:val="003C04AD"/>
    <w:rsid w:val="003C4A30"/>
    <w:rsid w:val="003F4899"/>
    <w:rsid w:val="00411091"/>
    <w:rsid w:val="00414B1E"/>
    <w:rsid w:val="00424B88"/>
    <w:rsid w:val="00434D86"/>
    <w:rsid w:val="00456E97"/>
    <w:rsid w:val="00490427"/>
    <w:rsid w:val="00492C83"/>
    <w:rsid w:val="004D5C54"/>
    <w:rsid w:val="004E3134"/>
    <w:rsid w:val="004E4058"/>
    <w:rsid w:val="004E40FB"/>
    <w:rsid w:val="0050431B"/>
    <w:rsid w:val="00511EC2"/>
    <w:rsid w:val="00527572"/>
    <w:rsid w:val="00531C3D"/>
    <w:rsid w:val="0053330F"/>
    <w:rsid w:val="00545C87"/>
    <w:rsid w:val="0054672A"/>
    <w:rsid w:val="00561801"/>
    <w:rsid w:val="00561FA9"/>
    <w:rsid w:val="0056746D"/>
    <w:rsid w:val="00576610"/>
    <w:rsid w:val="005776D7"/>
    <w:rsid w:val="00580E1D"/>
    <w:rsid w:val="00583534"/>
    <w:rsid w:val="005850F4"/>
    <w:rsid w:val="00587D8A"/>
    <w:rsid w:val="00596849"/>
    <w:rsid w:val="005A5DCC"/>
    <w:rsid w:val="005C0698"/>
    <w:rsid w:val="005C7129"/>
    <w:rsid w:val="005E7A5F"/>
    <w:rsid w:val="005F398F"/>
    <w:rsid w:val="005F49C5"/>
    <w:rsid w:val="005F73AA"/>
    <w:rsid w:val="00600049"/>
    <w:rsid w:val="00611758"/>
    <w:rsid w:val="0062282B"/>
    <w:rsid w:val="00631AFC"/>
    <w:rsid w:val="00641084"/>
    <w:rsid w:val="006450B3"/>
    <w:rsid w:val="00683D9B"/>
    <w:rsid w:val="0069105A"/>
    <w:rsid w:val="00693FB7"/>
    <w:rsid w:val="00697FE0"/>
    <w:rsid w:val="006B257D"/>
    <w:rsid w:val="006B7EA2"/>
    <w:rsid w:val="006C1196"/>
    <w:rsid w:val="006D12B5"/>
    <w:rsid w:val="006E35CB"/>
    <w:rsid w:val="006F2C49"/>
    <w:rsid w:val="006F54B3"/>
    <w:rsid w:val="006F7873"/>
    <w:rsid w:val="007143BF"/>
    <w:rsid w:val="007170D4"/>
    <w:rsid w:val="00717F99"/>
    <w:rsid w:val="00740506"/>
    <w:rsid w:val="00744DF3"/>
    <w:rsid w:val="00747BF6"/>
    <w:rsid w:val="007525A6"/>
    <w:rsid w:val="00763313"/>
    <w:rsid w:val="00764BD1"/>
    <w:rsid w:val="007704AD"/>
    <w:rsid w:val="007806E5"/>
    <w:rsid w:val="00791952"/>
    <w:rsid w:val="00794622"/>
    <w:rsid w:val="007A6AE5"/>
    <w:rsid w:val="007C063F"/>
    <w:rsid w:val="007C6665"/>
    <w:rsid w:val="007C695D"/>
    <w:rsid w:val="00814780"/>
    <w:rsid w:val="00815AD6"/>
    <w:rsid w:val="008160CB"/>
    <w:rsid w:val="0083683D"/>
    <w:rsid w:val="00843E90"/>
    <w:rsid w:val="0084416C"/>
    <w:rsid w:val="00844A51"/>
    <w:rsid w:val="0086176C"/>
    <w:rsid w:val="00885E6A"/>
    <w:rsid w:val="00891B20"/>
    <w:rsid w:val="008A36E1"/>
    <w:rsid w:val="008B508C"/>
    <w:rsid w:val="008D4764"/>
    <w:rsid w:val="008E6DBE"/>
    <w:rsid w:val="008F02E1"/>
    <w:rsid w:val="0094349E"/>
    <w:rsid w:val="009628D4"/>
    <w:rsid w:val="009832E0"/>
    <w:rsid w:val="0099789F"/>
    <w:rsid w:val="00997DA1"/>
    <w:rsid w:val="009A0E53"/>
    <w:rsid w:val="009A452F"/>
    <w:rsid w:val="009B569A"/>
    <w:rsid w:val="009B7339"/>
    <w:rsid w:val="009D0CA5"/>
    <w:rsid w:val="009E12D2"/>
    <w:rsid w:val="00A02D7F"/>
    <w:rsid w:val="00A0446B"/>
    <w:rsid w:val="00A067E5"/>
    <w:rsid w:val="00A12B7B"/>
    <w:rsid w:val="00A15C55"/>
    <w:rsid w:val="00A202FA"/>
    <w:rsid w:val="00A241FA"/>
    <w:rsid w:val="00A3492F"/>
    <w:rsid w:val="00A36735"/>
    <w:rsid w:val="00A4385A"/>
    <w:rsid w:val="00A53745"/>
    <w:rsid w:val="00AA2831"/>
    <w:rsid w:val="00AA47FF"/>
    <w:rsid w:val="00AA51D6"/>
    <w:rsid w:val="00AB548B"/>
    <w:rsid w:val="00AC1342"/>
    <w:rsid w:val="00AE0021"/>
    <w:rsid w:val="00AE3652"/>
    <w:rsid w:val="00AE76C7"/>
    <w:rsid w:val="00B138EF"/>
    <w:rsid w:val="00B14955"/>
    <w:rsid w:val="00B3420C"/>
    <w:rsid w:val="00B368F3"/>
    <w:rsid w:val="00B46A46"/>
    <w:rsid w:val="00B51BE3"/>
    <w:rsid w:val="00B55105"/>
    <w:rsid w:val="00B6452E"/>
    <w:rsid w:val="00B6479F"/>
    <w:rsid w:val="00B7719F"/>
    <w:rsid w:val="00B822D3"/>
    <w:rsid w:val="00B8297C"/>
    <w:rsid w:val="00B8329F"/>
    <w:rsid w:val="00BA2973"/>
    <w:rsid w:val="00BA4030"/>
    <w:rsid w:val="00BB0AB9"/>
    <w:rsid w:val="00BB112D"/>
    <w:rsid w:val="00BC530E"/>
    <w:rsid w:val="00BC5C5E"/>
    <w:rsid w:val="00BF15C6"/>
    <w:rsid w:val="00C0215B"/>
    <w:rsid w:val="00C05070"/>
    <w:rsid w:val="00C1627D"/>
    <w:rsid w:val="00C22C7F"/>
    <w:rsid w:val="00C34BA8"/>
    <w:rsid w:val="00C42282"/>
    <w:rsid w:val="00C50637"/>
    <w:rsid w:val="00C50EEA"/>
    <w:rsid w:val="00C52891"/>
    <w:rsid w:val="00C538B5"/>
    <w:rsid w:val="00C845EC"/>
    <w:rsid w:val="00C97BE4"/>
    <w:rsid w:val="00CD5E73"/>
    <w:rsid w:val="00CF0438"/>
    <w:rsid w:val="00CF674D"/>
    <w:rsid w:val="00D07724"/>
    <w:rsid w:val="00D35A06"/>
    <w:rsid w:val="00D435C9"/>
    <w:rsid w:val="00D4655F"/>
    <w:rsid w:val="00D46F24"/>
    <w:rsid w:val="00D47F7A"/>
    <w:rsid w:val="00D56263"/>
    <w:rsid w:val="00D60434"/>
    <w:rsid w:val="00D82A25"/>
    <w:rsid w:val="00D84B02"/>
    <w:rsid w:val="00D93F55"/>
    <w:rsid w:val="00DA7161"/>
    <w:rsid w:val="00DB04E8"/>
    <w:rsid w:val="00DB222D"/>
    <w:rsid w:val="00DB6DF3"/>
    <w:rsid w:val="00DB73A0"/>
    <w:rsid w:val="00DC1CD3"/>
    <w:rsid w:val="00DC64D0"/>
    <w:rsid w:val="00DD183F"/>
    <w:rsid w:val="00DD364A"/>
    <w:rsid w:val="00DE12A7"/>
    <w:rsid w:val="00DF65D0"/>
    <w:rsid w:val="00E176E4"/>
    <w:rsid w:val="00E4324A"/>
    <w:rsid w:val="00E70772"/>
    <w:rsid w:val="00E81ABE"/>
    <w:rsid w:val="00E93CED"/>
    <w:rsid w:val="00E96FB7"/>
    <w:rsid w:val="00EB085A"/>
    <w:rsid w:val="00EB40CF"/>
    <w:rsid w:val="00EC1501"/>
    <w:rsid w:val="00ED2C91"/>
    <w:rsid w:val="00ED7780"/>
    <w:rsid w:val="00EF4422"/>
    <w:rsid w:val="00EF61D1"/>
    <w:rsid w:val="00F04276"/>
    <w:rsid w:val="00F212C4"/>
    <w:rsid w:val="00F33221"/>
    <w:rsid w:val="00F50674"/>
    <w:rsid w:val="00F577EB"/>
    <w:rsid w:val="00F62F44"/>
    <w:rsid w:val="00F64C37"/>
    <w:rsid w:val="00F65B3D"/>
    <w:rsid w:val="00F71566"/>
    <w:rsid w:val="00F75DD2"/>
    <w:rsid w:val="00F75F8A"/>
    <w:rsid w:val="00F8619F"/>
    <w:rsid w:val="00FA77E0"/>
    <w:rsid w:val="00FB0F6A"/>
    <w:rsid w:val="00FC4341"/>
    <w:rsid w:val="00FD0D92"/>
    <w:rsid w:val="00FE4847"/>
    <w:rsid w:val="00FF023E"/>
    <w:rsid w:val="1C747756"/>
    <w:rsid w:val="579C5FB9"/>
    <w:rsid w:val="61201F12"/>
    <w:rsid w:val="6FFC2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5AAB9"/>
  <w15:docId w15:val="{0D738B1E-DA2C-48D8-846F-14FBCBC9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34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45340"/>
    <w:rPr>
      <w:rFonts w:ascii="宋体"/>
      <w:sz w:val="18"/>
      <w:szCs w:val="18"/>
    </w:rPr>
  </w:style>
  <w:style w:type="paragraph" w:styleId="a5">
    <w:name w:val="Balloon Text"/>
    <w:basedOn w:val="a"/>
    <w:link w:val="a6"/>
    <w:uiPriority w:val="99"/>
    <w:semiHidden/>
    <w:unhideWhenUsed/>
    <w:qFormat/>
    <w:rsid w:val="00345340"/>
    <w:rPr>
      <w:sz w:val="18"/>
      <w:szCs w:val="18"/>
    </w:rPr>
  </w:style>
  <w:style w:type="paragraph" w:styleId="a7">
    <w:name w:val="footer"/>
    <w:basedOn w:val="a"/>
    <w:link w:val="a8"/>
    <w:uiPriority w:val="99"/>
    <w:unhideWhenUsed/>
    <w:qFormat/>
    <w:rsid w:val="00345340"/>
    <w:pPr>
      <w:tabs>
        <w:tab w:val="center" w:pos="4153"/>
        <w:tab w:val="right" w:pos="8306"/>
      </w:tabs>
      <w:snapToGrid w:val="0"/>
      <w:jc w:val="left"/>
    </w:pPr>
    <w:rPr>
      <w:sz w:val="18"/>
      <w:szCs w:val="18"/>
    </w:rPr>
  </w:style>
  <w:style w:type="paragraph" w:styleId="a9">
    <w:name w:val="header"/>
    <w:basedOn w:val="a"/>
    <w:link w:val="aa"/>
    <w:uiPriority w:val="99"/>
    <w:unhideWhenUsed/>
    <w:rsid w:val="00345340"/>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rsid w:val="00345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qFormat/>
    <w:rsid w:val="00345340"/>
  </w:style>
  <w:style w:type="character" w:styleId="ad">
    <w:name w:val="Hyperlink"/>
    <w:uiPriority w:val="99"/>
    <w:unhideWhenUsed/>
    <w:qFormat/>
    <w:rsid w:val="00345340"/>
    <w:rPr>
      <w:color w:val="0563C1"/>
      <w:u w:val="single"/>
    </w:rPr>
  </w:style>
  <w:style w:type="character" w:customStyle="1" w:styleId="a6">
    <w:name w:val="批注框文本 字符"/>
    <w:basedOn w:val="a0"/>
    <w:link w:val="a5"/>
    <w:uiPriority w:val="99"/>
    <w:semiHidden/>
    <w:qFormat/>
    <w:rsid w:val="00345340"/>
    <w:rPr>
      <w:rFonts w:ascii="Calibri" w:eastAsia="宋体" w:hAnsi="Calibri" w:cs="Times New Roman"/>
      <w:sz w:val="18"/>
      <w:szCs w:val="18"/>
    </w:rPr>
  </w:style>
  <w:style w:type="character" w:customStyle="1" w:styleId="a4">
    <w:name w:val="文档结构图 字符"/>
    <w:basedOn w:val="a0"/>
    <w:link w:val="a3"/>
    <w:uiPriority w:val="99"/>
    <w:semiHidden/>
    <w:qFormat/>
    <w:rsid w:val="00345340"/>
    <w:rPr>
      <w:rFonts w:ascii="宋体" w:eastAsia="宋体" w:hAnsi="Calibri" w:cs="Times New Roman"/>
      <w:sz w:val="18"/>
      <w:szCs w:val="18"/>
    </w:rPr>
  </w:style>
  <w:style w:type="character" w:customStyle="1" w:styleId="aa">
    <w:name w:val="页眉 字符"/>
    <w:basedOn w:val="a0"/>
    <w:link w:val="a9"/>
    <w:uiPriority w:val="99"/>
    <w:qFormat/>
    <w:rsid w:val="00345340"/>
    <w:rPr>
      <w:rFonts w:ascii="Calibri" w:eastAsia="宋体" w:hAnsi="Calibri" w:cs="Times New Roman"/>
      <w:sz w:val="18"/>
      <w:szCs w:val="18"/>
    </w:rPr>
  </w:style>
  <w:style w:type="character" w:customStyle="1" w:styleId="a8">
    <w:name w:val="页脚 字符"/>
    <w:basedOn w:val="a0"/>
    <w:link w:val="a7"/>
    <w:uiPriority w:val="99"/>
    <w:qFormat/>
    <w:rsid w:val="00345340"/>
    <w:rPr>
      <w:rFonts w:ascii="Calibri" w:eastAsia="宋体" w:hAnsi="Calibri" w:cs="Times New Roman"/>
      <w:sz w:val="18"/>
      <w:szCs w:val="18"/>
    </w:rPr>
  </w:style>
  <w:style w:type="paragraph" w:customStyle="1" w:styleId="paper">
    <w:name w:val="正文 paper"/>
    <w:basedOn w:val="a"/>
    <w:link w:val="paperChar"/>
    <w:qFormat/>
    <w:rsid w:val="00345340"/>
    <w:pPr>
      <w:spacing w:line="360" w:lineRule="auto"/>
    </w:pPr>
    <w:rPr>
      <w:rFonts w:ascii="Times New Roman" w:hAnsi="Times New Roman"/>
      <w:kern w:val="0"/>
      <w:sz w:val="24"/>
      <w:szCs w:val="24"/>
    </w:rPr>
  </w:style>
  <w:style w:type="character" w:customStyle="1" w:styleId="paperChar">
    <w:name w:val="正文 paper Char"/>
    <w:link w:val="paper"/>
    <w:qFormat/>
    <w:locked/>
    <w:rsid w:val="00345340"/>
    <w:rPr>
      <w:rFonts w:ascii="Times New Roman" w:eastAsia="宋体" w:hAnsi="Times New Roman" w:cs="Times New Roman"/>
      <w:kern w:val="0"/>
      <w:sz w:val="24"/>
      <w:szCs w:val="24"/>
    </w:rPr>
  </w:style>
  <w:style w:type="paragraph" w:customStyle="1" w:styleId="MDPI14history">
    <w:name w:val="MDPI_1.4_history"/>
    <w:basedOn w:val="a"/>
    <w:next w:val="a"/>
    <w:qFormat/>
    <w:rsid w:val="00345340"/>
    <w:pPr>
      <w:widowControl/>
      <w:adjustRightInd w:val="0"/>
      <w:snapToGrid w:val="0"/>
      <w:spacing w:before="120" w:line="200" w:lineRule="atLeast"/>
      <w:ind w:left="113"/>
      <w:jc w:val="left"/>
    </w:pPr>
    <w:rPr>
      <w:rFonts w:ascii="Palatino Linotype" w:eastAsia="Times New Roman" w:hAnsi="Palatino Linotype"/>
      <w:color w:val="000000"/>
      <w:kern w:val="0"/>
      <w:sz w:val="18"/>
      <w:szCs w:val="20"/>
      <w:lang w:eastAsia="de-DE" w:bidi="en-US"/>
    </w:rPr>
  </w:style>
  <w:style w:type="paragraph" w:customStyle="1" w:styleId="EndNoteBibliography">
    <w:name w:val="EndNote Bibliography"/>
    <w:basedOn w:val="a"/>
    <w:link w:val="EndNoteBibliography0"/>
    <w:qFormat/>
    <w:rsid w:val="00345340"/>
    <w:rPr>
      <w:rFonts w:eastAsiaTheme="minorEastAsia" w:cs="Calibri"/>
      <w:sz w:val="20"/>
    </w:rPr>
  </w:style>
  <w:style w:type="character" w:customStyle="1" w:styleId="EndNoteBibliography0">
    <w:name w:val="EndNote Bibliography 字符"/>
    <w:basedOn w:val="a0"/>
    <w:link w:val="EndNoteBibliography"/>
    <w:qFormat/>
    <w:rsid w:val="00345340"/>
    <w:rPr>
      <w:rFonts w:ascii="Calibri" w:eastAsiaTheme="minorEastAsia" w:hAnsi="Calibri" w:cs="Calibri"/>
      <w:kern w:val="2"/>
      <w:szCs w:val="22"/>
    </w:rPr>
  </w:style>
  <w:style w:type="paragraph" w:customStyle="1" w:styleId="MDPI51figurecaption">
    <w:name w:val="MDPI_5.1_figure_caption"/>
    <w:basedOn w:val="a"/>
    <w:qFormat/>
    <w:rsid w:val="00345340"/>
    <w:pPr>
      <w:widowControl/>
      <w:adjustRightInd w:val="0"/>
      <w:snapToGrid w:val="0"/>
      <w:spacing w:before="120" w:after="240" w:line="260" w:lineRule="atLeast"/>
      <w:ind w:left="425" w:right="425"/>
    </w:pPr>
    <w:rPr>
      <w:rFonts w:ascii="Palatino Linotype" w:eastAsia="Times New Roman" w:hAnsi="Palatino Linotype"/>
      <w:color w:val="000000"/>
      <w:kern w:val="0"/>
      <w:sz w:val="18"/>
      <w:szCs w:val="20"/>
    </w:rPr>
  </w:style>
  <w:style w:type="character" w:customStyle="1" w:styleId="font21">
    <w:name w:val="font21"/>
    <w:basedOn w:val="a0"/>
    <w:qFormat/>
    <w:rsid w:val="00345340"/>
    <w:rPr>
      <w:rFonts w:ascii="Times New Roman" w:hAnsi="Times New Roman" w:cs="Times New Roman" w:hint="default"/>
      <w:color w:val="000000"/>
      <w:sz w:val="18"/>
      <w:szCs w:val="18"/>
      <w:u w:val="none"/>
      <w:vertAlign w:val="superscript"/>
    </w:rPr>
  </w:style>
  <w:style w:type="character" w:customStyle="1" w:styleId="font31">
    <w:name w:val="font31"/>
    <w:basedOn w:val="a0"/>
    <w:qFormat/>
    <w:rsid w:val="00345340"/>
    <w:rPr>
      <w:rFonts w:ascii="Times New Roman" w:hAnsi="Times New Roman" w:cs="Times New Roman" w:hint="default"/>
      <w:color w:val="000000"/>
      <w:sz w:val="18"/>
      <w:szCs w:val="18"/>
      <w:u w:val="none"/>
    </w:rPr>
  </w:style>
  <w:style w:type="character" w:customStyle="1" w:styleId="font11">
    <w:name w:val="font11"/>
    <w:basedOn w:val="a0"/>
    <w:qFormat/>
    <w:rsid w:val="00345340"/>
    <w:rPr>
      <w:rFonts w:ascii="Times New Roman" w:hAnsi="Times New Roman" w:cs="Times New Roman" w:hint="default"/>
      <w:color w:val="000000"/>
      <w:sz w:val="18"/>
      <w:szCs w:val="18"/>
      <w:u w:val="none"/>
    </w:rPr>
  </w:style>
  <w:style w:type="paragraph" w:customStyle="1" w:styleId="EndNoteBibliographyTitle">
    <w:name w:val="EndNote Bibliography Title"/>
    <w:basedOn w:val="a"/>
    <w:link w:val="EndNoteBibliographyTitleChar"/>
    <w:qFormat/>
    <w:rsid w:val="00345340"/>
    <w:pPr>
      <w:jc w:val="center"/>
    </w:pPr>
    <w:rPr>
      <w:sz w:val="20"/>
    </w:rPr>
  </w:style>
  <w:style w:type="character" w:customStyle="1" w:styleId="EndNoteBibliographyTitleChar">
    <w:name w:val="EndNote Bibliography Title Char"/>
    <w:basedOn w:val="a0"/>
    <w:link w:val="EndNoteBibliographyTitle"/>
    <w:qFormat/>
    <w:rsid w:val="00345340"/>
    <w:rPr>
      <w:rFonts w:ascii="Calibri" w:hAnsi="Calibri"/>
      <w:kern w:val="2"/>
      <w:szCs w:val="22"/>
    </w:rPr>
  </w:style>
  <w:style w:type="paragraph" w:styleId="ae">
    <w:name w:val="caption"/>
    <w:basedOn w:val="a"/>
    <w:next w:val="a"/>
    <w:uiPriority w:val="35"/>
    <w:unhideWhenUsed/>
    <w:qFormat/>
    <w:rsid w:val="00683D9B"/>
    <w:pPr>
      <w:spacing w:after="200"/>
    </w:pPr>
    <w:rPr>
      <w:rFonts w:asciiTheme="minorHAnsi" w:eastAsiaTheme="minorEastAsia"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8D0A3-DDD0-4E4C-A619-96B64713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XBS</dc:creator>
  <cp:lastModifiedBy>Owner</cp:lastModifiedBy>
  <cp:revision>5</cp:revision>
  <dcterms:created xsi:type="dcterms:W3CDTF">2023-10-09T07:47:00Z</dcterms:created>
  <dcterms:modified xsi:type="dcterms:W3CDTF">2024-01-15T00:32:00Z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29D7A917FBBE4AA3BE3FEAFE956DE82A</vt:lpwstr>
  </property>
</Properties>
</file>