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3F953" w14:textId="77777777" w:rsidR="005105EA" w:rsidRPr="00B8090F" w:rsidRDefault="005105EA" w:rsidP="00B8090F">
      <w:pPr>
        <w:rPr>
          <w:rFonts w:ascii="Times New Roman" w:hAnsi="Times New Roman" w:cs="Times New Roman"/>
          <w:b/>
          <w:sz w:val="32"/>
        </w:rPr>
      </w:pPr>
      <w:r w:rsidRPr="00B8090F">
        <w:rPr>
          <w:rFonts w:ascii="Times New Roman" w:hAnsi="Times New Roman" w:cs="Times New Roman"/>
          <w:b/>
          <w:sz w:val="32"/>
        </w:rPr>
        <w:t xml:space="preserve">Supplementary Information </w:t>
      </w:r>
    </w:p>
    <w:p w14:paraId="7F916D6C" w14:textId="77777777" w:rsidR="006B2CCF" w:rsidRDefault="006B2CCF" w:rsidP="006B2CCF">
      <w:pPr>
        <w:spacing w:line="360" w:lineRule="auto"/>
        <w:rPr>
          <w:rFonts w:ascii="Times New Roman" w:hAnsi="Times New Roman" w:cs="Times New Roman"/>
          <w:color w:val="000033"/>
        </w:rPr>
      </w:pPr>
    </w:p>
    <w:p w14:paraId="3911F414" w14:textId="77777777" w:rsidR="005105EA" w:rsidRPr="004D34BC" w:rsidRDefault="005105EA" w:rsidP="005105EA">
      <w:pPr>
        <w:pStyle w:val="a9"/>
        <w:spacing w:after="312"/>
      </w:pPr>
      <w:r w:rsidRPr="004D34BC">
        <w:t>An integrated and efficient process for borax preparation and magnetite recovery from soda-ash roasted ludwigite ore under CO</w:t>
      </w:r>
      <w:r>
        <w:rPr>
          <w:shd w:val="clear" w:color="auto" w:fill="FFFFFF"/>
        </w:rPr>
        <w:t>–</w:t>
      </w:r>
      <w:r w:rsidRPr="004D34BC">
        <w:t>CO</w:t>
      </w:r>
      <w:r w:rsidRPr="004D34BC">
        <w:rPr>
          <w:vertAlign w:val="subscript"/>
        </w:rPr>
        <w:t>2</w:t>
      </w:r>
      <w:r>
        <w:rPr>
          <w:shd w:val="clear" w:color="auto" w:fill="FFFFFF"/>
        </w:rPr>
        <w:t>–</w:t>
      </w:r>
      <w:r w:rsidRPr="004D34BC">
        <w:t>N</w:t>
      </w:r>
      <w:r w:rsidRPr="004D34BC">
        <w:rPr>
          <w:vertAlign w:val="subscript"/>
        </w:rPr>
        <w:t>2</w:t>
      </w:r>
      <w:r w:rsidRPr="004D34BC">
        <w:t xml:space="preserve"> atmosphere</w:t>
      </w:r>
    </w:p>
    <w:p w14:paraId="00CD7398" w14:textId="77777777" w:rsidR="005105EA" w:rsidRPr="004D34BC" w:rsidRDefault="005105EA" w:rsidP="005105EA">
      <w:pPr>
        <w:pStyle w:val="aa"/>
      </w:pPr>
      <w:r w:rsidRPr="004D34BC">
        <w:t>Jinxiang You</w:t>
      </w:r>
      <w:r w:rsidRPr="00441684">
        <w:rPr>
          <w:i w:val="0"/>
          <w:vertAlign w:val="superscript"/>
        </w:rPr>
        <w:t>1)</w:t>
      </w:r>
      <w:r w:rsidRPr="004D34BC">
        <w:t>, Jing Wang</w:t>
      </w:r>
      <w:r w:rsidRPr="00441684">
        <w:rPr>
          <w:i w:val="0"/>
          <w:vertAlign w:val="superscript"/>
        </w:rPr>
        <w:t>1)</w:t>
      </w:r>
      <w:r w:rsidRPr="004D34BC">
        <w:t>, Mingjun Rao</w:t>
      </w:r>
      <w:r w:rsidRPr="00441684">
        <w:rPr>
          <w:i w:val="0"/>
          <w:vertAlign w:val="superscript"/>
        </w:rPr>
        <w:t>1),</w:t>
      </w:r>
      <w:r w:rsidRPr="00441684">
        <w:rPr>
          <w:i w:val="0"/>
          <w:vertAlign w:val="superscript"/>
        </w:rPr>
        <w:sym w:font="Wingdings" w:char="F02A"/>
      </w:r>
      <w:r w:rsidRPr="004D34BC">
        <w:t>, Xin Zhang</w:t>
      </w:r>
      <w:r w:rsidRPr="00441684">
        <w:rPr>
          <w:i w:val="0"/>
          <w:vertAlign w:val="superscript"/>
        </w:rPr>
        <w:t>1)</w:t>
      </w:r>
      <w:r w:rsidRPr="00441684">
        <w:t>,</w:t>
      </w:r>
      <w:r w:rsidRPr="004D34BC">
        <w:t xml:space="preserve"> Jun Luo</w:t>
      </w:r>
      <w:r w:rsidRPr="00441684">
        <w:rPr>
          <w:i w:val="0"/>
          <w:vertAlign w:val="superscript"/>
        </w:rPr>
        <w:t>2)</w:t>
      </w:r>
      <w:r w:rsidRPr="004D34BC">
        <w:t>, Zhiwei Peng</w:t>
      </w:r>
      <w:r w:rsidRPr="00441684">
        <w:rPr>
          <w:i w:val="0"/>
          <w:vertAlign w:val="superscript"/>
        </w:rPr>
        <w:t>1)</w:t>
      </w:r>
      <w:r w:rsidRPr="004D34BC">
        <w:t xml:space="preserve">, </w:t>
      </w:r>
      <w:r>
        <w:t xml:space="preserve">and </w:t>
      </w:r>
      <w:r w:rsidRPr="004D34BC">
        <w:t>Guanghui Li</w:t>
      </w:r>
      <w:r w:rsidRPr="00441684">
        <w:rPr>
          <w:i w:val="0"/>
          <w:vertAlign w:val="superscript"/>
        </w:rPr>
        <w:t>1),</w:t>
      </w:r>
      <w:r w:rsidRPr="00441684">
        <w:rPr>
          <w:i w:val="0"/>
          <w:vertAlign w:val="superscript"/>
        </w:rPr>
        <w:sym w:font="Wingdings" w:char="F02A"/>
      </w:r>
    </w:p>
    <w:p w14:paraId="64D8454A" w14:textId="77777777" w:rsidR="005105EA" w:rsidRPr="004D34BC" w:rsidRDefault="005105EA" w:rsidP="005105EA">
      <w:pPr>
        <w:pStyle w:val="ab"/>
      </w:pPr>
      <w:r>
        <w:t xml:space="preserve">1) </w:t>
      </w:r>
      <w:r w:rsidRPr="004D34BC">
        <w:t>School of Minerals Processing and Bioengineering, Central South University, Changsha 410083, China</w:t>
      </w:r>
    </w:p>
    <w:p w14:paraId="57E71521" w14:textId="77777777" w:rsidR="005105EA" w:rsidRPr="004D34BC" w:rsidRDefault="005105EA" w:rsidP="005105EA">
      <w:pPr>
        <w:pStyle w:val="ab"/>
      </w:pPr>
      <w:r>
        <w:t xml:space="preserve">2) </w:t>
      </w:r>
      <w:r w:rsidRPr="004D34BC">
        <w:t>College of Chemistry and Chemical Engineering, Central South University, Changsha 410083, China</w:t>
      </w:r>
    </w:p>
    <w:p w14:paraId="5F766A05" w14:textId="77777777" w:rsidR="005105EA" w:rsidRDefault="005105EA" w:rsidP="006B2CCF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noProof/>
        </w:rPr>
      </w:pPr>
    </w:p>
    <w:p w14:paraId="0314AEA9" w14:textId="572271D9" w:rsidR="00BB54AC" w:rsidRPr="006B2CCF" w:rsidRDefault="006B2CCF" w:rsidP="006B2CCF">
      <w:pPr>
        <w:widowControl/>
        <w:spacing w:line="360" w:lineRule="auto"/>
        <w:jc w:val="left"/>
      </w:pPr>
      <w:r>
        <w:rPr>
          <w:rFonts w:ascii="Times New Roman" w:hAnsi="Times New Roman" w:cs="Times New Roman"/>
          <w:b/>
          <w:bCs/>
          <w:noProof/>
        </w:rPr>
        <w:t>Table</w:t>
      </w:r>
      <w:r w:rsidR="008C5EEF" w:rsidRPr="008C5EEF">
        <w:rPr>
          <w:rFonts w:ascii="Times New Roman" w:hAnsi="Times New Roman" w:cs="Times New Roman"/>
          <w:b/>
          <w:bCs/>
          <w:noProof/>
        </w:rPr>
        <w:t xml:space="preserve"> S1</w:t>
      </w:r>
    </w:p>
    <w:p w14:paraId="4A2B9CC0" w14:textId="247B4FAB" w:rsidR="006B2CCF" w:rsidRPr="00167190" w:rsidRDefault="006B2CCF" w:rsidP="006B2CCF">
      <w:pPr>
        <w:widowControl/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16719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Table S1.</w:t>
      </w:r>
      <w:r w:rsidR="00167190" w:rsidRPr="0016719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Pr="0016719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Particle size distribution of the grinding products under different grinding time</w:t>
      </w: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67190" w:rsidRPr="00167190" w14:paraId="3E80B404" w14:textId="77777777" w:rsidTr="00167190">
        <w:tc>
          <w:tcPr>
            <w:tcW w:w="276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6295628" w14:textId="3D639E7C" w:rsidR="006B2CCF" w:rsidRPr="00167190" w:rsidRDefault="006B2CCF" w:rsidP="00E83E87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</w:rPr>
              <w:t>G</w:t>
            </w:r>
            <w:r w:rsidRPr="00167190">
              <w:rPr>
                <w:rFonts w:ascii="Times New Roman" w:hAnsi="Times New Roman" w:cs="Times New Roman"/>
                <w:sz w:val="21"/>
                <w:szCs w:val="21"/>
              </w:rPr>
              <w:t>rinding time</w:t>
            </w:r>
            <w:r w:rsidR="00167190" w:rsidRPr="001671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6719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167190" w:rsidRPr="001671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67190">
              <w:rPr>
                <w:rFonts w:ascii="Times New Roman" w:hAnsi="Times New Roman" w:cs="Times New Roman"/>
                <w:sz w:val="21"/>
                <w:szCs w:val="21"/>
              </w:rPr>
              <w:t>min</w:t>
            </w:r>
          </w:p>
        </w:tc>
        <w:tc>
          <w:tcPr>
            <w:tcW w:w="55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DAFF4A" w14:textId="42EA21B2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Y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ield</w:t>
            </w:r>
            <w:r w:rsidR="00167190"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/</w:t>
            </w:r>
            <w:r w:rsidR="00167190"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%</w:t>
            </w:r>
          </w:p>
        </w:tc>
      </w:tr>
      <w:tr w:rsidR="00167190" w:rsidRPr="00167190" w14:paraId="3DBF902D" w14:textId="77777777" w:rsidTr="00167190">
        <w:tc>
          <w:tcPr>
            <w:tcW w:w="2765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A86DA49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7124BE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+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0.038 mm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9B8163" w14:textId="39BC8F5C" w:rsidR="006B2CCF" w:rsidRPr="00167190" w:rsidRDefault="00167190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sym w:font="Symbol" w:char="F02D"/>
            </w:r>
            <w:r w:rsidR="006B2CCF"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0.038 mm</w:t>
            </w:r>
          </w:p>
        </w:tc>
      </w:tr>
      <w:tr w:rsidR="00167190" w:rsidRPr="00167190" w14:paraId="1668C03A" w14:textId="77777777" w:rsidTr="00E83E87"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14:paraId="790AE6AF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14:paraId="3240CDB2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2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3.00</w:t>
            </w:r>
          </w:p>
        </w:tc>
        <w:tc>
          <w:tcPr>
            <w:tcW w:w="2766" w:type="dxa"/>
            <w:tcBorders>
              <w:top w:val="single" w:sz="8" w:space="0" w:color="auto"/>
            </w:tcBorders>
            <w:vAlign w:val="center"/>
          </w:tcPr>
          <w:p w14:paraId="7B2004E5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7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7.00</w:t>
            </w:r>
          </w:p>
        </w:tc>
      </w:tr>
      <w:tr w:rsidR="00167190" w:rsidRPr="00167190" w14:paraId="27A7AD1A" w14:textId="77777777" w:rsidTr="00E83E87">
        <w:tc>
          <w:tcPr>
            <w:tcW w:w="2765" w:type="dxa"/>
            <w:vAlign w:val="center"/>
          </w:tcPr>
          <w:p w14:paraId="4BA32E70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2765" w:type="dxa"/>
            <w:vAlign w:val="center"/>
          </w:tcPr>
          <w:p w14:paraId="4E394F76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1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3.10</w:t>
            </w:r>
          </w:p>
        </w:tc>
        <w:tc>
          <w:tcPr>
            <w:tcW w:w="2766" w:type="dxa"/>
            <w:vAlign w:val="center"/>
          </w:tcPr>
          <w:p w14:paraId="07AA345E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8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6.90</w:t>
            </w:r>
          </w:p>
        </w:tc>
      </w:tr>
      <w:tr w:rsidR="00167190" w:rsidRPr="00167190" w14:paraId="4CAE8ABD" w14:textId="77777777" w:rsidTr="00E83E87">
        <w:tc>
          <w:tcPr>
            <w:tcW w:w="2765" w:type="dxa"/>
            <w:vAlign w:val="center"/>
          </w:tcPr>
          <w:p w14:paraId="66A885B3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1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765" w:type="dxa"/>
            <w:vAlign w:val="center"/>
          </w:tcPr>
          <w:p w14:paraId="6A1E1A43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3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.75</w:t>
            </w:r>
          </w:p>
        </w:tc>
        <w:tc>
          <w:tcPr>
            <w:tcW w:w="2766" w:type="dxa"/>
            <w:vAlign w:val="center"/>
          </w:tcPr>
          <w:p w14:paraId="1FE26E4F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9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6.25</w:t>
            </w:r>
          </w:p>
        </w:tc>
      </w:tr>
      <w:tr w:rsidR="00167190" w:rsidRPr="00167190" w14:paraId="6B13AD76" w14:textId="77777777" w:rsidTr="00E83E87">
        <w:tc>
          <w:tcPr>
            <w:tcW w:w="2765" w:type="dxa"/>
            <w:vAlign w:val="center"/>
          </w:tcPr>
          <w:p w14:paraId="5F0D5DC8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1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2765" w:type="dxa"/>
            <w:vAlign w:val="center"/>
          </w:tcPr>
          <w:p w14:paraId="1ED3BBCB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1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.23</w:t>
            </w:r>
          </w:p>
        </w:tc>
        <w:tc>
          <w:tcPr>
            <w:tcW w:w="2766" w:type="dxa"/>
            <w:vAlign w:val="center"/>
          </w:tcPr>
          <w:p w14:paraId="3BD81112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9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8.77</w:t>
            </w:r>
          </w:p>
        </w:tc>
      </w:tr>
      <w:tr w:rsidR="00167190" w:rsidRPr="00167190" w14:paraId="400833FB" w14:textId="77777777" w:rsidTr="00E83E87">
        <w:tc>
          <w:tcPr>
            <w:tcW w:w="2765" w:type="dxa"/>
            <w:vAlign w:val="center"/>
          </w:tcPr>
          <w:p w14:paraId="6CF28478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2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765" w:type="dxa"/>
            <w:vAlign w:val="center"/>
          </w:tcPr>
          <w:p w14:paraId="2ED0F27F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.14</w:t>
            </w:r>
          </w:p>
        </w:tc>
        <w:tc>
          <w:tcPr>
            <w:tcW w:w="2766" w:type="dxa"/>
            <w:vAlign w:val="center"/>
          </w:tcPr>
          <w:p w14:paraId="20F3B234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9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9.86</w:t>
            </w:r>
          </w:p>
        </w:tc>
      </w:tr>
      <w:tr w:rsidR="00167190" w:rsidRPr="00167190" w14:paraId="3D5D7BA3" w14:textId="77777777" w:rsidTr="00E83E87">
        <w:tc>
          <w:tcPr>
            <w:tcW w:w="2765" w:type="dxa"/>
            <w:vAlign w:val="center"/>
          </w:tcPr>
          <w:p w14:paraId="15BEFBC7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2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2765" w:type="dxa"/>
            <w:vAlign w:val="center"/>
          </w:tcPr>
          <w:p w14:paraId="5ACDC1BB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0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.00</w:t>
            </w:r>
          </w:p>
        </w:tc>
        <w:tc>
          <w:tcPr>
            <w:tcW w:w="2766" w:type="dxa"/>
            <w:vAlign w:val="center"/>
          </w:tcPr>
          <w:p w14:paraId="228E04DE" w14:textId="77777777" w:rsidR="006B2CCF" w:rsidRPr="00167190" w:rsidRDefault="006B2CCF" w:rsidP="00E83E8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67190"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/>
              </w:rPr>
              <w:t>1</w:t>
            </w:r>
            <w:r w:rsidRPr="001671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00.00</w:t>
            </w:r>
          </w:p>
        </w:tc>
      </w:tr>
    </w:tbl>
    <w:p w14:paraId="3EC0271F" w14:textId="69F1DECD" w:rsidR="006B2CCF" w:rsidRPr="006B2CCF" w:rsidRDefault="006B2CCF" w:rsidP="006B2CCF">
      <w:pPr>
        <w:widowControl/>
        <w:spacing w:beforeLines="50" w:before="156" w:line="480" w:lineRule="auto"/>
        <w:ind w:firstLineChars="200" w:firstLine="480"/>
        <w:rPr>
          <w:color w:val="000000" w:themeColor="text1"/>
        </w:rPr>
      </w:pPr>
      <w:r w:rsidRPr="006B2CCF">
        <w:rPr>
          <w:rFonts w:ascii="Times New Roman" w:hAnsi="Times New Roman" w:cs="Times New Roman"/>
          <w:color w:val="000000" w:themeColor="text1"/>
        </w:rPr>
        <w:t xml:space="preserve">As shown in Table </w:t>
      </w:r>
      <w:r>
        <w:rPr>
          <w:rFonts w:ascii="Times New Roman" w:hAnsi="Times New Roman" w:cs="Times New Roman"/>
          <w:color w:val="000000" w:themeColor="text1"/>
        </w:rPr>
        <w:t>S</w:t>
      </w:r>
      <w:r w:rsidRPr="006B2CCF">
        <w:rPr>
          <w:rFonts w:ascii="Times New Roman" w:hAnsi="Times New Roman" w:cs="Times New Roman"/>
          <w:color w:val="000000" w:themeColor="text1"/>
        </w:rPr>
        <w:t>1, the mass proportion of particles smaller than 0.038 mm increased with increasing grinding time. Specifically, the percentage of grinding products with a particle size smaller than 0.038 mm increased from 77.00% to 99.86% when the grinding time was extended from 3 to 20 minutes. The prolonged grinding time was found to support mineral dissociation.</w:t>
      </w:r>
    </w:p>
    <w:p w14:paraId="00CA3643" w14:textId="63E40C7E" w:rsidR="008C5EEF" w:rsidRDefault="008C5EEF">
      <w:pPr>
        <w:widowControl/>
        <w:jc w:val="left"/>
      </w:pPr>
      <w:r>
        <w:br w:type="page"/>
      </w:r>
    </w:p>
    <w:p w14:paraId="010D020D" w14:textId="28E611F4" w:rsidR="008C5EEF" w:rsidRPr="008C5EEF" w:rsidRDefault="006B2CCF" w:rsidP="006B2CCF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t>Figure</w:t>
      </w:r>
      <w:r w:rsidR="008C5EEF" w:rsidRPr="008C5EEF">
        <w:rPr>
          <w:rFonts w:ascii="Times New Roman" w:hAnsi="Times New Roman" w:cs="Times New Roman"/>
          <w:b/>
          <w:bCs/>
          <w:noProof/>
        </w:rPr>
        <w:t xml:space="preserve"> S</w:t>
      </w:r>
      <w:r>
        <w:rPr>
          <w:rFonts w:ascii="Times New Roman" w:hAnsi="Times New Roman" w:cs="Times New Roman"/>
          <w:b/>
          <w:bCs/>
          <w:noProof/>
        </w:rPr>
        <w:t>1</w:t>
      </w:r>
    </w:p>
    <w:p w14:paraId="2066CA55" w14:textId="3EA5C4ED" w:rsidR="008C5EEF" w:rsidRDefault="006B2CCF" w:rsidP="006B2CCF">
      <w:pPr>
        <w:spacing w:beforeLines="50" w:before="156" w:line="480" w:lineRule="auto"/>
        <w:jc w:val="center"/>
      </w:pPr>
      <w:r>
        <w:rPr>
          <w:noProof/>
        </w:rPr>
        <w:drawing>
          <wp:inline distT="0" distB="0" distL="0" distR="0" wp14:anchorId="3552F4E6" wp14:editId="4A89F28C">
            <wp:extent cx="3370551" cy="25200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5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09A07" w14:textId="11D49C42" w:rsidR="006B2CCF" w:rsidRPr="00167190" w:rsidRDefault="006B2CCF" w:rsidP="006B2CCF">
      <w:pPr>
        <w:widowControl/>
        <w:spacing w:beforeLines="50" w:before="156" w:line="48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7190">
        <w:rPr>
          <w:rFonts w:ascii="Times New Roman" w:hAnsi="Times New Roman" w:cs="Times New Roman" w:hint="eastAsia"/>
          <w:b/>
          <w:color w:val="000000" w:themeColor="text1"/>
          <w:sz w:val="21"/>
          <w:szCs w:val="21"/>
        </w:rPr>
        <w:t>F</w:t>
      </w:r>
      <w:r w:rsidRPr="0016719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ig. S1.</w:t>
      </w:r>
      <w:r w:rsidR="00167190" w:rsidRPr="0016719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16719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Effect of grind-leaching time on the boron</w:t>
      </w:r>
      <w:r w:rsidRPr="00167190">
        <w:rPr>
          <w:rFonts w:ascii="Times New Roman" w:hAnsi="Times New Roman" w:cs="Times New Roman" w:hint="eastAsia"/>
          <w:b/>
          <w:color w:val="000000" w:themeColor="text1"/>
          <w:sz w:val="21"/>
          <w:szCs w:val="21"/>
        </w:rPr>
        <w:t>/</w:t>
      </w:r>
      <w:r w:rsidRPr="0016719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iron separation indexes.</w:t>
      </w:r>
    </w:p>
    <w:p w14:paraId="487D27C0" w14:textId="2CE4D521" w:rsidR="008C5EEF" w:rsidRPr="006B2CCF" w:rsidRDefault="006B2CCF" w:rsidP="006B2CCF">
      <w:pPr>
        <w:widowControl/>
        <w:spacing w:beforeLines="50" w:before="156" w:line="480" w:lineRule="auto"/>
        <w:ind w:firstLineChars="200" w:firstLine="4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B2CCF">
        <w:rPr>
          <w:rFonts w:ascii="Times New Roman" w:hAnsi="Times New Roman" w:cs="Times New Roman"/>
          <w:color w:val="000000" w:themeColor="text1"/>
        </w:rPr>
        <w:t xml:space="preserve">Fig. </w:t>
      </w:r>
      <w:r>
        <w:rPr>
          <w:rFonts w:ascii="Times New Roman" w:hAnsi="Times New Roman" w:cs="Times New Roman"/>
          <w:color w:val="000000" w:themeColor="text1"/>
        </w:rPr>
        <w:t>S</w:t>
      </w:r>
      <w:r w:rsidRPr="006B2CCF">
        <w:rPr>
          <w:rFonts w:ascii="Times New Roman" w:hAnsi="Times New Roman" w:cs="Times New Roman"/>
          <w:color w:val="000000" w:themeColor="text1"/>
        </w:rPr>
        <w:t>1 illustrates that boron leaching efficiency increased from 70.50% to 93.27% as the grind-leaching time increased from 2 to 25 min and reached a plateau at 20 mi</w:t>
      </w:r>
      <w:r w:rsidR="00191151">
        <w:rPr>
          <w:rFonts w:ascii="Times New Roman" w:hAnsi="Times New Roman" w:cs="Times New Roman"/>
          <w:color w:val="000000" w:themeColor="text1"/>
        </w:rPr>
        <w:t>n</w:t>
      </w:r>
      <w:r w:rsidRPr="006B2CCF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sectPr w:rsidR="008C5EEF" w:rsidRPr="006B2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7286" w14:textId="77777777" w:rsidR="004214D4" w:rsidRDefault="004214D4" w:rsidP="008C5EEF">
      <w:r>
        <w:separator/>
      </w:r>
    </w:p>
  </w:endnote>
  <w:endnote w:type="continuationSeparator" w:id="0">
    <w:p w14:paraId="38968434" w14:textId="77777777" w:rsidR="004214D4" w:rsidRDefault="004214D4" w:rsidP="008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AE1A" w14:textId="77777777" w:rsidR="004214D4" w:rsidRDefault="004214D4" w:rsidP="008C5EEF">
      <w:r>
        <w:separator/>
      </w:r>
    </w:p>
  </w:footnote>
  <w:footnote w:type="continuationSeparator" w:id="0">
    <w:p w14:paraId="6FDCD4C7" w14:textId="77777777" w:rsidR="004214D4" w:rsidRDefault="004214D4" w:rsidP="008C5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2"/>
    <w:rsid w:val="00167190"/>
    <w:rsid w:val="00191151"/>
    <w:rsid w:val="004214D4"/>
    <w:rsid w:val="004B316A"/>
    <w:rsid w:val="005105EA"/>
    <w:rsid w:val="00622893"/>
    <w:rsid w:val="006A32FD"/>
    <w:rsid w:val="006B2CCF"/>
    <w:rsid w:val="007C5552"/>
    <w:rsid w:val="008C5EEF"/>
    <w:rsid w:val="008F5E1E"/>
    <w:rsid w:val="00B01CFA"/>
    <w:rsid w:val="00B8090F"/>
    <w:rsid w:val="00BA3C52"/>
    <w:rsid w:val="00BB54AC"/>
    <w:rsid w:val="00D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6235"/>
  <w15:chartTrackingRefBased/>
  <w15:docId w15:val="{8B3E6BD0-FEF2-4530-A13A-4AF6C28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EF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C5552"/>
    <w:pPr>
      <w:keepNext/>
      <w:keepLines/>
      <w:spacing w:before="200" w:after="160" w:line="400" w:lineRule="exact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C5552"/>
    <w:rPr>
      <w:rFonts w:eastAsia="宋体"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8C5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E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EEF"/>
    <w:rPr>
      <w:sz w:val="18"/>
      <w:szCs w:val="18"/>
    </w:rPr>
  </w:style>
  <w:style w:type="character" w:styleId="a7">
    <w:name w:val="Hyperlink"/>
    <w:basedOn w:val="a0"/>
    <w:uiPriority w:val="99"/>
    <w:unhideWhenUsed/>
    <w:rsid w:val="008C5EEF"/>
    <w:rPr>
      <w:color w:val="0000FF"/>
      <w:u w:val="single"/>
    </w:rPr>
  </w:style>
  <w:style w:type="table" w:styleId="a8">
    <w:name w:val="Table Grid"/>
    <w:basedOn w:val="a1"/>
    <w:uiPriority w:val="39"/>
    <w:rsid w:val="008C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8F5E1E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8F5E1E"/>
    <w:rPr>
      <w:rFonts w:ascii="Times New Roman" w:hAnsi="Times New Roman" w:cs="Times New Roman"/>
      <w:noProof/>
    </w:rPr>
  </w:style>
  <w:style w:type="paragraph" w:customStyle="1" w:styleId="a9">
    <w:name w:val="大标题"/>
    <w:basedOn w:val="a"/>
    <w:next w:val="a"/>
    <w:qFormat/>
    <w:rsid w:val="005105EA"/>
    <w:pPr>
      <w:widowControl/>
      <w:adjustRightInd w:val="0"/>
      <w:spacing w:before="120" w:afterLines="100" w:after="100" w:line="360" w:lineRule="exact"/>
    </w:pPr>
    <w:rPr>
      <w:rFonts w:ascii="Times New Roman" w:eastAsia="Times New Roman" w:hAnsi="Times New Roman" w:cs="Times New Roman"/>
      <w:b/>
      <w:sz w:val="30"/>
      <w:szCs w:val="22"/>
      <w:lang w:eastAsia="en-US"/>
    </w:rPr>
  </w:style>
  <w:style w:type="paragraph" w:customStyle="1" w:styleId="aa">
    <w:name w:val="作者"/>
    <w:basedOn w:val="a"/>
    <w:next w:val="a"/>
    <w:qFormat/>
    <w:rsid w:val="005105EA"/>
    <w:pPr>
      <w:widowControl/>
      <w:spacing w:after="120" w:line="288" w:lineRule="auto"/>
      <w:jc w:val="left"/>
    </w:pPr>
    <w:rPr>
      <w:rFonts w:ascii="Times New Roman" w:eastAsia="Times New Roman" w:hAnsi="Times New Roman" w:cs="Times New Roman"/>
      <w:i/>
      <w:szCs w:val="22"/>
      <w:lang w:eastAsia="en-US"/>
    </w:rPr>
  </w:style>
  <w:style w:type="paragraph" w:customStyle="1" w:styleId="ab">
    <w:name w:val="作者单位"/>
    <w:basedOn w:val="a"/>
    <w:next w:val="a"/>
    <w:qFormat/>
    <w:rsid w:val="005105EA"/>
    <w:pPr>
      <w:widowControl/>
      <w:spacing w:line="48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1">
    <w:name w:val="1级标题"/>
    <w:basedOn w:val="a"/>
    <w:next w:val="a"/>
    <w:qFormat/>
    <w:rsid w:val="005105EA"/>
    <w:pPr>
      <w:widowControl/>
      <w:spacing w:before="270" w:line="480" w:lineRule="auto"/>
      <w:jc w:val="left"/>
      <w:outlineLvl w:val="0"/>
    </w:pPr>
    <w:rPr>
      <w:rFonts w:ascii="Times New Roman" w:eastAsia="Times New Roman" w:hAnsi="Times New Roman" w:cs="Times New Roman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CPX</cp:lastModifiedBy>
  <cp:revision>8</cp:revision>
  <dcterms:created xsi:type="dcterms:W3CDTF">2023-03-16T08:50:00Z</dcterms:created>
  <dcterms:modified xsi:type="dcterms:W3CDTF">2023-09-20T08:12:00Z</dcterms:modified>
</cp:coreProperties>
</file>