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7739" w14:textId="7E16B9D9" w:rsidR="00387082" w:rsidRPr="0041469A" w:rsidRDefault="000C77AB" w:rsidP="00387082">
      <w:pPr>
        <w:jc w:val="center"/>
        <w:rPr>
          <w:b/>
          <w:bCs/>
          <w:sz w:val="32"/>
          <w:szCs w:val="20"/>
        </w:rPr>
      </w:pPr>
      <w:r w:rsidRPr="0041469A">
        <w:rPr>
          <w:b/>
          <w:bCs/>
          <w:sz w:val="32"/>
          <w:szCs w:val="20"/>
        </w:rPr>
        <w:t>Supplementary Materials</w:t>
      </w:r>
    </w:p>
    <w:p w14:paraId="3FDA9412" w14:textId="77777777" w:rsidR="00614A78" w:rsidRPr="00157CC3" w:rsidRDefault="00614A78" w:rsidP="00614A78">
      <w:pPr>
        <w:pStyle w:val="a8"/>
        <w:spacing w:after="240"/>
      </w:pPr>
      <w:r w:rsidRPr="00157CC3">
        <w:t>Hydrogen-based direct reduction o</w:t>
      </w:r>
      <w:r>
        <w:t>f industrial iron ore pellets: S</w:t>
      </w:r>
      <w:r w:rsidRPr="00157CC3">
        <w:t>tatistically designed experiments and computational simulation</w:t>
      </w:r>
    </w:p>
    <w:p w14:paraId="3F6F5D0B" w14:textId="77777777" w:rsidR="00614A78" w:rsidRPr="00157CC3" w:rsidRDefault="00614A78" w:rsidP="00614A78">
      <w:pPr>
        <w:pStyle w:val="a9"/>
        <w:rPr>
          <w:lang w:val="pt-BR"/>
        </w:rPr>
      </w:pPr>
      <w:r w:rsidRPr="00157CC3">
        <w:rPr>
          <w:lang w:val="pt-BR"/>
        </w:rPr>
        <w:t>Patrícia Metolina</w:t>
      </w:r>
      <w:r w:rsidRPr="00C41057">
        <w:rPr>
          <w:i w:val="0"/>
          <w:sz w:val="22"/>
          <w:vertAlign w:val="superscript"/>
          <w:lang w:val="pt-BR"/>
        </w:rPr>
        <w:t xml:space="preserve"> 1,2</w:t>
      </w:r>
      <w:r w:rsidRPr="00C41057">
        <w:rPr>
          <w:rFonts w:eastAsiaTheme="minorEastAsia"/>
          <w:i w:val="0"/>
          <w:sz w:val="22"/>
          <w:vertAlign w:val="superscript"/>
          <w:lang w:val="pt-BR" w:eastAsia="zh-CN"/>
        </w:rPr>
        <w:t>)</w:t>
      </w:r>
      <w:r w:rsidRPr="00C41057">
        <w:rPr>
          <w:rFonts w:asciiTheme="minorEastAsia" w:eastAsiaTheme="minorEastAsia" w:hAnsiTheme="minorEastAsia"/>
          <w:i w:val="0"/>
          <w:sz w:val="22"/>
          <w:vertAlign w:val="superscript"/>
          <w:lang w:val="pt-BR" w:eastAsia="zh-CN"/>
        </w:rPr>
        <w:t>,</w:t>
      </w:r>
      <w:r>
        <w:rPr>
          <w:i w:val="0"/>
          <w:vertAlign w:val="superscript"/>
          <w:lang w:val="pt-BR"/>
        </w:rPr>
        <w:t>,</w:t>
      </w:r>
      <w:r w:rsidRPr="00C41057">
        <w:rPr>
          <w:i w:val="0"/>
          <w:vertAlign w:val="superscript"/>
          <w:lang w:val="pt-BR"/>
        </w:rPr>
        <w:t xml:space="preserve"> </w:t>
      </w:r>
      <w:r w:rsidRPr="00C41057">
        <w:rPr>
          <w:i w:val="0"/>
          <w:vertAlign w:val="superscript"/>
          <w:lang w:val="pt-BR"/>
        </w:rPr>
        <w:sym w:font="Wingdings" w:char="F02A"/>
      </w:r>
      <w:r w:rsidRPr="00157CC3">
        <w:rPr>
          <w:lang w:val="pt-BR"/>
        </w:rPr>
        <w:t>, Tiago Ramos Ribeiro</w:t>
      </w:r>
      <w:r w:rsidRPr="000B335A">
        <w:rPr>
          <w:i w:val="0"/>
          <w:sz w:val="22"/>
          <w:vertAlign w:val="superscript"/>
          <w:lang w:val="pt-BR"/>
        </w:rPr>
        <w:t>2)</w:t>
      </w:r>
      <w:r w:rsidRPr="00C41057">
        <w:rPr>
          <w:sz w:val="22"/>
          <w:lang w:val="pt-BR"/>
        </w:rPr>
        <w:t>,</w:t>
      </w:r>
      <w:r w:rsidRPr="00157CC3">
        <w:rPr>
          <w:lang w:val="pt-BR"/>
        </w:rPr>
        <w:t xml:space="preserve"> and Roberto Guardani</w:t>
      </w:r>
      <w:r w:rsidRPr="000B335A">
        <w:rPr>
          <w:i w:val="0"/>
          <w:lang w:val="pt-BR"/>
        </w:rPr>
        <w:t xml:space="preserve"> </w:t>
      </w:r>
      <w:r w:rsidRPr="000B335A">
        <w:rPr>
          <w:i w:val="0"/>
          <w:sz w:val="22"/>
          <w:vertAlign w:val="superscript"/>
          <w:lang w:val="pt-BR"/>
        </w:rPr>
        <w:t>1)</w:t>
      </w:r>
    </w:p>
    <w:p w14:paraId="2E51350E" w14:textId="6AA562F8" w:rsidR="00614A78" w:rsidRPr="00765EB8" w:rsidRDefault="00614A78" w:rsidP="00614A78">
      <w:pPr>
        <w:pStyle w:val="aa"/>
      </w:pPr>
      <w:r w:rsidRPr="00C41057">
        <w:t xml:space="preserve">1) </w:t>
      </w:r>
      <w:r w:rsidRPr="00157CC3">
        <w:t>Chemical Systems Engineering Center</w:t>
      </w:r>
      <w:r w:rsidR="00862FF1">
        <w:t xml:space="preserve">, </w:t>
      </w:r>
      <w:r w:rsidRPr="00157CC3">
        <w:t>Department of Chemical Engineering,</w:t>
      </w:r>
      <w:r>
        <w:t xml:space="preserve"> </w:t>
      </w:r>
      <w:r w:rsidRPr="005E6DBB">
        <w:t xml:space="preserve">University of São Paulo, </w:t>
      </w:r>
      <w:r w:rsidRPr="00765EB8">
        <w:t xml:space="preserve">São Paulo 05508-900, </w:t>
      </w:r>
      <w:bookmarkStart w:id="0" w:name="OLE_LINK1"/>
      <w:bookmarkStart w:id="1" w:name="OLE_LINK2"/>
      <w:r w:rsidRPr="00765EB8">
        <w:t>Brazil</w:t>
      </w:r>
      <w:bookmarkEnd w:id="0"/>
      <w:bookmarkEnd w:id="1"/>
    </w:p>
    <w:p w14:paraId="7C6D2D8D" w14:textId="1F407AA6" w:rsidR="00614A78" w:rsidRPr="00ED4E91" w:rsidRDefault="00614A78" w:rsidP="00614A78">
      <w:pPr>
        <w:pStyle w:val="aa"/>
      </w:pPr>
      <w:r w:rsidRPr="005D4128">
        <w:t>2) Metallurgical Process Laboratory</w:t>
      </w:r>
      <w:r w:rsidR="00862FF1">
        <w:t xml:space="preserve">, </w:t>
      </w:r>
      <w:r w:rsidRPr="005D4128">
        <w:t xml:space="preserve">Institute of Technological Research, </w:t>
      </w:r>
      <w:r w:rsidRPr="00ED4E91">
        <w:t>São Paulo 0550</w:t>
      </w:r>
      <w:bookmarkStart w:id="2" w:name="_GoBack"/>
      <w:bookmarkEnd w:id="2"/>
      <w:r w:rsidRPr="00ED4E91">
        <w:t>8-901, Brazil</w:t>
      </w:r>
    </w:p>
    <w:p w14:paraId="037987C4" w14:textId="77777777" w:rsidR="00614A78" w:rsidRPr="005E6DBB" w:rsidRDefault="00614A78" w:rsidP="00614A78">
      <w:pPr>
        <w:pStyle w:val="aa"/>
        <w:rPr>
          <w:rFonts w:eastAsiaTheme="minorEastAsia"/>
          <w:sz w:val="20"/>
          <w:lang w:eastAsia="zh-CN"/>
        </w:rPr>
      </w:pPr>
      <w:r w:rsidRPr="005E6DBB">
        <w:rPr>
          <w:rFonts w:eastAsiaTheme="minorEastAsia"/>
          <w:lang w:eastAsia="zh-CN"/>
        </w:rPr>
        <w:t>(Received: 7 November 2021; revised: 29 March 2022; accepted: 30 March 2022)</w:t>
      </w:r>
    </w:p>
    <w:p w14:paraId="4057DDAF" w14:textId="77777777" w:rsidR="000C77AB" w:rsidRPr="00614A78" w:rsidRDefault="000C77AB" w:rsidP="00387082">
      <w:pPr>
        <w:jc w:val="center"/>
        <w:rPr>
          <w:b/>
          <w:bCs/>
          <w:sz w:val="20"/>
          <w:szCs w:val="20"/>
          <w:lang w:val="en-US"/>
        </w:rPr>
      </w:pPr>
    </w:p>
    <w:p w14:paraId="069BAB4B" w14:textId="77777777" w:rsidR="00387082" w:rsidRPr="004A39B3" w:rsidRDefault="00387082" w:rsidP="00310F75">
      <w:pPr>
        <w:jc w:val="center"/>
        <w:rPr>
          <w:sz w:val="20"/>
          <w:szCs w:val="20"/>
        </w:rPr>
      </w:pPr>
      <w:r w:rsidRPr="004A39B3">
        <w:rPr>
          <w:noProof/>
          <w:sz w:val="20"/>
          <w:szCs w:val="20"/>
          <w:lang w:val="en-US" w:eastAsia="zh-CN"/>
        </w:rPr>
        <w:drawing>
          <wp:inline distT="0" distB="0" distL="0" distR="0" wp14:anchorId="3C402A71" wp14:editId="0EBF64E5">
            <wp:extent cx="4700905" cy="2908500"/>
            <wp:effectExtent l="0" t="0" r="4445" b="6350"/>
            <wp:docPr id="301" name="Gráfico 301">
              <a:extLst xmlns:a="http://schemas.openxmlformats.org/drawingml/2006/main">
                <a:ext uri="{FF2B5EF4-FFF2-40B4-BE49-F238E27FC236}">
                  <a16:creationId xmlns:a16="http://schemas.microsoft.com/office/drawing/2014/main" id="{6B667E88-19DA-4C08-B2F4-1C68A672B32E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Gráfico 301">
                      <a:extLst>
                        <a:ext uri="{FF2B5EF4-FFF2-40B4-BE49-F238E27FC236}">
                          <a16:creationId xmlns:a16="http://schemas.microsoft.com/office/drawing/2014/main" id="{6B667E88-19DA-4C08-B2F4-1C68A672B32E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1F16" w14:textId="18EA58C2" w:rsidR="00387082" w:rsidRPr="0078696A" w:rsidRDefault="00387082" w:rsidP="00387082">
      <w:pPr>
        <w:pStyle w:val="Figura"/>
        <w:rPr>
          <w:sz w:val="20"/>
          <w:szCs w:val="20"/>
        </w:rPr>
      </w:pPr>
      <w:r w:rsidRPr="004A39B3">
        <w:rPr>
          <w:sz w:val="20"/>
          <w:szCs w:val="20"/>
        </w:rPr>
        <w:t>Fig</w:t>
      </w:r>
      <w:r w:rsidR="004A39B3">
        <w:rPr>
          <w:sz w:val="20"/>
          <w:szCs w:val="20"/>
        </w:rPr>
        <w:t xml:space="preserve">. </w:t>
      </w:r>
      <w:r w:rsidR="00356149" w:rsidRPr="004A39B3">
        <w:rPr>
          <w:sz w:val="20"/>
          <w:szCs w:val="20"/>
        </w:rPr>
        <w:t>S</w:t>
      </w:r>
      <w:r w:rsidRPr="004A39B3">
        <w:rPr>
          <w:sz w:val="20"/>
          <w:szCs w:val="20"/>
        </w:rPr>
        <w:t>1</w:t>
      </w:r>
      <w:r w:rsidR="004A39B3">
        <w:rPr>
          <w:sz w:val="20"/>
          <w:szCs w:val="20"/>
        </w:rPr>
        <w:t xml:space="preserve">. </w:t>
      </w:r>
      <w:r w:rsidRPr="0078696A">
        <w:rPr>
          <w:bCs w:val="0"/>
          <w:sz w:val="20"/>
          <w:szCs w:val="20"/>
        </w:rPr>
        <w:t>Porosity distribution of the industrial pellets.</w:t>
      </w:r>
    </w:p>
    <w:p w14:paraId="3540435E" w14:textId="77777777" w:rsidR="00387082" w:rsidRPr="004A39B3" w:rsidRDefault="00387082" w:rsidP="00387082">
      <w:pPr>
        <w:jc w:val="center"/>
        <w:rPr>
          <w:sz w:val="20"/>
          <w:szCs w:val="20"/>
          <w:lang w:val="en-US"/>
        </w:rPr>
      </w:pPr>
    </w:p>
    <w:p w14:paraId="54813070" w14:textId="3220B814" w:rsidR="00613AFC" w:rsidRDefault="00613AFC" w:rsidP="00613AFC">
      <w:pPr>
        <w:pStyle w:val="TextFirstParagraph"/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A39B3">
        <w:rPr>
          <w:rFonts w:ascii="Times New Roman" w:hAnsi="Times New Roman" w:cs="Times New Roman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5B7F4D" wp14:editId="3F9A47CA">
                <wp:simplePos x="0" y="0"/>
                <wp:positionH relativeFrom="column">
                  <wp:posOffset>100965</wp:posOffset>
                </wp:positionH>
                <wp:positionV relativeFrom="paragraph">
                  <wp:posOffset>1849755</wp:posOffset>
                </wp:positionV>
                <wp:extent cx="403860" cy="335280"/>
                <wp:effectExtent l="0" t="0" r="0" b="762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AA205" w14:textId="2BF15C4D" w:rsidR="00613AFC" w:rsidRPr="004A39B3" w:rsidRDefault="00613AFC" w:rsidP="0061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39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0F7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4A39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B7F4D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7.95pt;margin-top:145.65pt;width:31.8pt;height:26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" filled="f" stroked="f" strokeweight=".5pt">
                <v:textbox>
                  <w:txbxContent>
                    <w:p w14:paraId="2C3AA205" w14:textId="2BF15C4D" w:rsidR="00613AFC" w:rsidRPr="004A39B3" w:rsidRDefault="00613AFC" w:rsidP="00613AFC">
                      <w:pPr>
                        <w:rPr>
                          <w:sz w:val="20"/>
                          <w:szCs w:val="20"/>
                        </w:rPr>
                      </w:pPr>
                      <w:r w:rsidRPr="004A39B3">
                        <w:rPr>
                          <w:sz w:val="20"/>
                          <w:szCs w:val="20"/>
                        </w:rPr>
                        <w:t>(</w:t>
                      </w:r>
                      <w:r w:rsidR="00310F75">
                        <w:rPr>
                          <w:sz w:val="20"/>
                          <w:szCs w:val="20"/>
                        </w:rPr>
                        <w:t>b</w:t>
                      </w:r>
                      <w:r w:rsidRPr="004A39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A39B3">
        <w:rPr>
          <w:rFonts w:ascii="Times New Roman" w:hAnsi="Times New Roman" w:cs="Times New Roman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0F0B9" wp14:editId="1CC0F65D">
                <wp:simplePos x="0" y="0"/>
                <wp:positionH relativeFrom="column">
                  <wp:posOffset>100965</wp:posOffset>
                </wp:positionH>
                <wp:positionV relativeFrom="paragraph">
                  <wp:posOffset>51435</wp:posOffset>
                </wp:positionV>
                <wp:extent cx="403860" cy="335280"/>
                <wp:effectExtent l="0" t="0" r="0" b="76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66D6F" w14:textId="15215DE9" w:rsidR="00613AFC" w:rsidRPr="004A39B3" w:rsidRDefault="00613AFC" w:rsidP="0061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39B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0F7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A39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F0B9" id="Caixa de Texto 4" o:spid="_x0000_s1027" type="#_x0000_t202" style="position:absolute;left:0;text-align:left;margin-left:7.95pt;margin-top:4.05pt;width:31.8pt;height: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" filled="f" stroked="f" strokeweight=".5pt">
                <v:textbox>
                  <w:txbxContent>
                    <w:p w14:paraId="60666D6F" w14:textId="15215DE9" w:rsidR="00613AFC" w:rsidRPr="004A39B3" w:rsidRDefault="00613AFC" w:rsidP="00613AFC">
                      <w:pPr>
                        <w:rPr>
                          <w:sz w:val="20"/>
                          <w:szCs w:val="20"/>
                        </w:rPr>
                      </w:pPr>
                      <w:r w:rsidRPr="004A39B3">
                        <w:rPr>
                          <w:sz w:val="20"/>
                          <w:szCs w:val="20"/>
                        </w:rPr>
                        <w:t>(</w:t>
                      </w:r>
                      <w:r w:rsidR="00310F75">
                        <w:rPr>
                          <w:sz w:val="20"/>
                          <w:szCs w:val="20"/>
                        </w:rPr>
                        <w:t>a</w:t>
                      </w:r>
                      <w:r w:rsidRPr="004A39B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A39B3">
        <w:rPr>
          <w:rFonts w:ascii="Times New Roman" w:hAnsi="Times New Roman" w:cs="Times New Roman"/>
          <w:noProof/>
          <w:sz w:val="20"/>
          <w:szCs w:val="20"/>
          <w:lang w:val="en-US" w:eastAsia="zh-CN"/>
        </w:rPr>
        <w:drawing>
          <wp:inline distT="0" distB="0" distL="0" distR="0" wp14:anchorId="2DF9973B" wp14:editId="31B8096E">
            <wp:extent cx="2241357" cy="1584960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0" cy="15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A0C6" w14:textId="77777777" w:rsidR="00310F75" w:rsidRPr="004A39B3" w:rsidRDefault="00310F75" w:rsidP="00613AFC">
      <w:pPr>
        <w:pStyle w:val="TextFirstParagraph"/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B2C0EDA" w14:textId="77777777" w:rsidR="00613AFC" w:rsidRPr="004A39B3" w:rsidRDefault="00613AFC" w:rsidP="00613AFC">
      <w:pPr>
        <w:jc w:val="center"/>
        <w:rPr>
          <w:color w:val="FF0000"/>
          <w:sz w:val="20"/>
          <w:szCs w:val="20"/>
        </w:rPr>
      </w:pPr>
      <w:r w:rsidRPr="004A39B3">
        <w:rPr>
          <w:noProof/>
          <w:sz w:val="20"/>
          <w:szCs w:val="20"/>
          <w:lang w:val="en-US" w:eastAsia="zh-CN"/>
        </w:rPr>
        <w:lastRenderedPageBreak/>
        <w:drawing>
          <wp:inline distT="0" distB="0" distL="0" distR="0" wp14:anchorId="2FA01764" wp14:editId="7C4E8AE9">
            <wp:extent cx="4366260" cy="1236182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75" cy="12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F6AD" w14:textId="1C4B67B9" w:rsidR="001760E4" w:rsidRPr="004A39B3" w:rsidRDefault="00613AFC" w:rsidP="008474B0">
      <w:pPr>
        <w:pStyle w:val="a3"/>
        <w:jc w:val="center"/>
        <w:rPr>
          <w:b/>
          <w:bCs/>
          <w:i w:val="0"/>
          <w:iCs w:val="0"/>
          <w:color w:val="auto"/>
          <w:sz w:val="20"/>
          <w:szCs w:val="20"/>
        </w:rPr>
        <w:sectPr w:rsidR="001760E4" w:rsidRPr="004A39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A39B3">
        <w:rPr>
          <w:b/>
          <w:bCs/>
          <w:i w:val="0"/>
          <w:iCs w:val="0"/>
          <w:color w:val="auto"/>
          <w:sz w:val="20"/>
          <w:szCs w:val="20"/>
        </w:rPr>
        <w:t>Fig</w:t>
      </w:r>
      <w:r w:rsidR="004A39B3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4A39B3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356149" w:rsidRPr="004A39B3">
        <w:rPr>
          <w:b/>
          <w:bCs/>
          <w:i w:val="0"/>
          <w:iCs w:val="0"/>
          <w:color w:val="auto"/>
          <w:sz w:val="20"/>
          <w:szCs w:val="20"/>
        </w:rPr>
        <w:t>S</w:t>
      </w:r>
      <w:r w:rsidR="008474B0" w:rsidRPr="004A39B3">
        <w:rPr>
          <w:b/>
          <w:bCs/>
          <w:i w:val="0"/>
          <w:iCs w:val="0"/>
          <w:color w:val="auto"/>
          <w:sz w:val="20"/>
          <w:szCs w:val="20"/>
        </w:rPr>
        <w:t>2</w:t>
      </w:r>
      <w:r w:rsidR="004A39B3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 w:rsidRPr="0078696A">
        <w:rPr>
          <w:b/>
          <w:i w:val="0"/>
          <w:iCs w:val="0"/>
          <w:color w:val="auto"/>
          <w:sz w:val="20"/>
          <w:szCs w:val="20"/>
        </w:rPr>
        <w:t>Shrinking Core Model (SCM). (</w:t>
      </w:r>
      <w:r w:rsidR="00310F75" w:rsidRPr="0078696A">
        <w:rPr>
          <w:b/>
          <w:i w:val="0"/>
          <w:iCs w:val="0"/>
          <w:color w:val="auto"/>
          <w:sz w:val="20"/>
          <w:szCs w:val="20"/>
        </w:rPr>
        <w:t>a</w:t>
      </w:r>
      <w:r w:rsidRPr="0078696A">
        <w:rPr>
          <w:b/>
          <w:i w:val="0"/>
          <w:iCs w:val="0"/>
          <w:color w:val="auto"/>
          <w:sz w:val="20"/>
          <w:szCs w:val="20"/>
        </w:rPr>
        <w:t>) Schematic view of the pellet reduction model described by the unreacted core and the three layers of solid products separated by the sharp interfaces. (</w:t>
      </w:r>
      <w:r w:rsidR="00310F75" w:rsidRPr="0078696A">
        <w:rPr>
          <w:b/>
          <w:i w:val="0"/>
          <w:iCs w:val="0"/>
          <w:color w:val="auto"/>
          <w:sz w:val="20"/>
          <w:szCs w:val="20"/>
        </w:rPr>
        <w:t>b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) The reduction model represented as a stepwise resistance network, where </w:t>
      </w:r>
      <w:r w:rsidRPr="004414E1">
        <w:rPr>
          <w:b/>
          <w:iCs w:val="0"/>
          <w:color w:val="auto"/>
          <w:sz w:val="20"/>
          <w:szCs w:val="20"/>
        </w:rPr>
        <w:t>A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1, </w:t>
      </w:r>
      <w:r w:rsidRPr="004414E1">
        <w:rPr>
          <w:b/>
          <w:iCs w:val="0"/>
          <w:color w:val="auto"/>
          <w:sz w:val="20"/>
          <w:szCs w:val="20"/>
        </w:rPr>
        <w:t>A</w:t>
      </w:r>
      <w:r w:rsidRPr="0078696A">
        <w:rPr>
          <w:b/>
          <w:i w:val="0"/>
          <w:iCs w:val="0"/>
          <w:color w:val="auto"/>
          <w:sz w:val="20"/>
          <w:szCs w:val="20"/>
        </w:rPr>
        <w:t>2</w:t>
      </w:r>
      <w:r w:rsidR="00AE4606">
        <w:rPr>
          <w:b/>
          <w:i w:val="0"/>
          <w:iCs w:val="0"/>
          <w:color w:val="auto"/>
          <w:sz w:val="20"/>
          <w:szCs w:val="20"/>
        </w:rPr>
        <w:t>,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and </w:t>
      </w:r>
      <w:r w:rsidRPr="004414E1">
        <w:rPr>
          <w:b/>
          <w:iCs w:val="0"/>
          <w:color w:val="auto"/>
          <w:sz w:val="20"/>
          <w:szCs w:val="20"/>
        </w:rPr>
        <w:t>A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3, represent the resistances due to chemical reactions </w:t>
      </w:r>
      <w:r w:rsidRPr="00FA1F69">
        <w:rPr>
          <w:b/>
          <w:i w:val="0"/>
          <w:iCs w:val="0"/>
          <w:color w:val="auto"/>
          <w:sz w:val="20"/>
          <w:szCs w:val="20"/>
        </w:rPr>
        <w:t>R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1, </w:t>
      </w:r>
      <w:r w:rsidRPr="00FA1F69">
        <w:rPr>
          <w:b/>
          <w:i w:val="0"/>
          <w:iCs w:val="0"/>
          <w:color w:val="auto"/>
          <w:sz w:val="20"/>
          <w:szCs w:val="20"/>
        </w:rPr>
        <w:t>R</w:t>
      </w:r>
      <w:r w:rsidRPr="0078696A">
        <w:rPr>
          <w:b/>
          <w:i w:val="0"/>
          <w:iCs w:val="0"/>
          <w:color w:val="auto"/>
          <w:sz w:val="20"/>
          <w:szCs w:val="20"/>
        </w:rPr>
        <w:t>2</w:t>
      </w:r>
      <w:r w:rsidR="00AE4606">
        <w:rPr>
          <w:b/>
          <w:i w:val="0"/>
          <w:iCs w:val="0"/>
          <w:color w:val="auto"/>
          <w:sz w:val="20"/>
          <w:szCs w:val="20"/>
        </w:rPr>
        <w:t>,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and </w:t>
      </w:r>
      <w:r w:rsidRPr="00FA1F69">
        <w:rPr>
          <w:b/>
          <w:i w:val="0"/>
          <w:iCs w:val="0"/>
          <w:color w:val="auto"/>
          <w:sz w:val="20"/>
          <w:szCs w:val="20"/>
        </w:rPr>
        <w:t>R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3, respectively; </w:t>
      </w:r>
      <w:r w:rsidRPr="004414E1">
        <w:rPr>
          <w:b/>
          <w:iCs w:val="0"/>
          <w:color w:val="auto"/>
          <w:sz w:val="20"/>
          <w:szCs w:val="20"/>
        </w:rPr>
        <w:t>B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1, </w:t>
      </w:r>
      <w:r w:rsidRPr="004414E1">
        <w:rPr>
          <w:b/>
          <w:iCs w:val="0"/>
          <w:color w:val="auto"/>
          <w:sz w:val="20"/>
          <w:szCs w:val="20"/>
        </w:rPr>
        <w:t>B</w:t>
      </w:r>
      <w:r w:rsidRPr="0078696A">
        <w:rPr>
          <w:b/>
          <w:i w:val="0"/>
          <w:iCs w:val="0"/>
          <w:color w:val="auto"/>
          <w:sz w:val="20"/>
          <w:szCs w:val="20"/>
        </w:rPr>
        <w:t>2</w:t>
      </w:r>
      <w:r w:rsidR="00AE4606">
        <w:rPr>
          <w:b/>
          <w:i w:val="0"/>
          <w:iCs w:val="0"/>
          <w:color w:val="auto"/>
          <w:sz w:val="20"/>
          <w:szCs w:val="20"/>
        </w:rPr>
        <w:t>,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and </w:t>
      </w:r>
      <w:r w:rsidRPr="004414E1">
        <w:rPr>
          <w:b/>
          <w:iCs w:val="0"/>
          <w:color w:val="auto"/>
          <w:sz w:val="20"/>
          <w:szCs w:val="20"/>
        </w:rPr>
        <w:t>B</w:t>
      </w:r>
      <w:r w:rsidRPr="0078696A">
        <w:rPr>
          <w:b/>
          <w:i w:val="0"/>
          <w:iCs w:val="0"/>
          <w:color w:val="auto"/>
          <w:sz w:val="20"/>
          <w:szCs w:val="20"/>
        </w:rPr>
        <w:t>3, the resistances due to the diffusion of the reacted solid layer of magnetite, wustite</w:t>
      </w:r>
      <w:r w:rsidR="00FA1F69">
        <w:rPr>
          <w:b/>
          <w:i w:val="0"/>
          <w:iCs w:val="0"/>
          <w:color w:val="auto"/>
          <w:sz w:val="20"/>
          <w:szCs w:val="20"/>
        </w:rPr>
        <w:t>,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and iron; and </w:t>
      </w:r>
      <w:r w:rsidRPr="00FA1F69">
        <w:rPr>
          <w:b/>
          <w:iCs w:val="0"/>
          <w:color w:val="auto"/>
          <w:sz w:val="20"/>
          <w:szCs w:val="20"/>
        </w:rPr>
        <w:t>F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, the resistance due to the gas film layer on the surface of the solid. </w:t>
      </w:r>
      <w:r w:rsidRPr="0052633B">
        <w:rPr>
          <w:b/>
          <w:iCs w:val="0"/>
          <w:color w:val="auto"/>
          <w:sz w:val="20"/>
          <w:szCs w:val="20"/>
        </w:rPr>
        <w:t>C</w:t>
      </w:r>
      <w:r w:rsidRPr="0078696A">
        <w:rPr>
          <w:b/>
          <w:i w:val="0"/>
          <w:iCs w:val="0"/>
          <w:color w:val="auto"/>
          <w:sz w:val="20"/>
          <w:szCs w:val="20"/>
        </w:rPr>
        <w:t>eq</w:t>
      </w:r>
      <w:r w:rsidRPr="0078696A">
        <w:rPr>
          <w:b/>
          <w:i w:val="0"/>
          <w:iCs w:val="0"/>
          <w:color w:val="auto"/>
          <w:sz w:val="20"/>
          <w:szCs w:val="20"/>
          <w:vertAlign w:val="subscript"/>
        </w:rPr>
        <w:t>1, H2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, </w:t>
      </w:r>
      <w:r w:rsidRPr="0052633B">
        <w:rPr>
          <w:b/>
          <w:iCs w:val="0"/>
          <w:color w:val="auto"/>
          <w:sz w:val="20"/>
          <w:szCs w:val="20"/>
        </w:rPr>
        <w:t>C</w:t>
      </w:r>
      <w:r w:rsidRPr="0078696A">
        <w:rPr>
          <w:b/>
          <w:i w:val="0"/>
          <w:iCs w:val="0"/>
          <w:color w:val="auto"/>
          <w:sz w:val="20"/>
          <w:szCs w:val="20"/>
        </w:rPr>
        <w:t>eq</w:t>
      </w:r>
      <w:r w:rsidRPr="0078696A">
        <w:rPr>
          <w:b/>
          <w:i w:val="0"/>
          <w:iCs w:val="0"/>
          <w:color w:val="auto"/>
          <w:sz w:val="20"/>
          <w:szCs w:val="20"/>
          <w:vertAlign w:val="subscript"/>
        </w:rPr>
        <w:t>2, H2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, </w:t>
      </w:r>
      <w:r w:rsidRPr="0052633B">
        <w:rPr>
          <w:b/>
          <w:iCs w:val="0"/>
          <w:color w:val="auto"/>
          <w:sz w:val="20"/>
          <w:szCs w:val="20"/>
        </w:rPr>
        <w:t>C</w:t>
      </w:r>
      <w:r w:rsidRPr="0078696A">
        <w:rPr>
          <w:b/>
          <w:i w:val="0"/>
          <w:iCs w:val="0"/>
          <w:color w:val="auto"/>
          <w:sz w:val="20"/>
          <w:szCs w:val="20"/>
        </w:rPr>
        <w:t>eq</w:t>
      </w:r>
      <w:r w:rsidRPr="0078696A">
        <w:rPr>
          <w:b/>
          <w:i w:val="0"/>
          <w:iCs w:val="0"/>
          <w:color w:val="auto"/>
          <w:sz w:val="20"/>
          <w:szCs w:val="20"/>
          <w:vertAlign w:val="subscript"/>
        </w:rPr>
        <w:t>3, H2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are the equilibrium concentrations of H</w:t>
      </w:r>
      <w:r w:rsidRPr="0078696A">
        <w:rPr>
          <w:b/>
          <w:i w:val="0"/>
          <w:iCs w:val="0"/>
          <w:color w:val="auto"/>
          <w:sz w:val="20"/>
          <w:szCs w:val="20"/>
          <w:vertAlign w:val="subscript"/>
        </w:rPr>
        <w:t xml:space="preserve">2 </w:t>
      </w:r>
      <w:r w:rsidRPr="0078696A">
        <w:rPr>
          <w:b/>
          <w:i w:val="0"/>
          <w:iCs w:val="0"/>
          <w:color w:val="auto"/>
          <w:sz w:val="20"/>
          <w:szCs w:val="20"/>
        </w:rPr>
        <w:t>at the sharp interfaces for each of reactions 1, 2</w:t>
      </w:r>
      <w:r w:rsidR="00FA1F69">
        <w:rPr>
          <w:b/>
          <w:i w:val="0"/>
          <w:iCs w:val="0"/>
          <w:color w:val="auto"/>
          <w:sz w:val="20"/>
          <w:szCs w:val="20"/>
        </w:rPr>
        <w:t>,</w:t>
      </w:r>
      <w:r w:rsidRPr="0078696A">
        <w:rPr>
          <w:b/>
          <w:i w:val="0"/>
          <w:iCs w:val="0"/>
          <w:color w:val="auto"/>
          <w:sz w:val="20"/>
          <w:szCs w:val="20"/>
        </w:rPr>
        <w:t xml:space="preserve"> and 3, respectively. </w:t>
      </w:r>
      <w:r w:rsidR="003F3666" w:rsidRPr="0078696A">
        <w:rPr>
          <w:b/>
          <w:i w:val="0"/>
          <w:iCs w:val="0"/>
          <w:color w:val="auto"/>
          <w:sz w:val="20"/>
          <w:szCs w:val="20"/>
        </w:rPr>
        <w:t xml:space="preserve"> (</w:t>
      </w:r>
      <w:r w:rsidR="009161CE" w:rsidRPr="0078696A">
        <w:rPr>
          <w:b/>
          <w:i w:val="0"/>
          <w:iCs w:val="0"/>
          <w:color w:val="auto"/>
          <w:sz w:val="20"/>
          <w:szCs w:val="20"/>
        </w:rPr>
        <w:t xml:space="preserve">Adapted from </w:t>
      </w:r>
      <w:r w:rsidR="00CD61F4" w:rsidRPr="0078696A">
        <w:rPr>
          <w:b/>
          <w:i w:val="0"/>
          <w:iCs w:val="0"/>
          <w:color w:val="auto"/>
          <w:sz w:val="20"/>
          <w:szCs w:val="20"/>
        </w:rPr>
        <w:t xml:space="preserve">Kinaci </w:t>
      </w:r>
      <w:r w:rsidR="00CD61F4" w:rsidRPr="0078696A">
        <w:rPr>
          <w:b/>
          <w:iCs w:val="0"/>
          <w:color w:val="auto"/>
          <w:sz w:val="20"/>
          <w:szCs w:val="20"/>
        </w:rPr>
        <w:t>et al</w:t>
      </w:r>
      <w:r w:rsidR="004A39B3" w:rsidRPr="0078696A">
        <w:rPr>
          <w:b/>
          <w:i w:val="0"/>
          <w:iCs w:val="0"/>
          <w:color w:val="auto"/>
          <w:sz w:val="20"/>
          <w:szCs w:val="20"/>
        </w:rPr>
        <w:t>.</w:t>
      </w:r>
      <w:r w:rsidR="00DB16F3" w:rsidRPr="0078696A">
        <w:rPr>
          <w:b/>
          <w:i w:val="0"/>
          <w:iCs w:val="0"/>
          <w:color w:val="auto"/>
          <w:sz w:val="20"/>
          <w:szCs w:val="20"/>
        </w:rPr>
        <w:t>[3]</w:t>
      </w:r>
      <w:r w:rsidR="00CD61F4" w:rsidRPr="0078696A">
        <w:rPr>
          <w:b/>
          <w:i w:val="0"/>
          <w:iCs w:val="0"/>
          <w:color w:val="auto"/>
          <w:sz w:val="20"/>
          <w:szCs w:val="20"/>
        </w:rPr>
        <w:t>)</w:t>
      </w:r>
      <w:r w:rsidR="00BA4C86" w:rsidRPr="0078696A">
        <w:rPr>
          <w:b/>
          <w:i w:val="0"/>
          <w:iCs w:val="0"/>
          <w:color w:val="auto"/>
          <w:sz w:val="20"/>
          <w:szCs w:val="20"/>
        </w:rPr>
        <w:tab/>
      </w:r>
    </w:p>
    <w:p w14:paraId="0B3C2A35" w14:textId="3EA003BB" w:rsidR="0041132B" w:rsidRPr="005A7DC0" w:rsidRDefault="0041132B" w:rsidP="009427B6">
      <w:pPr>
        <w:pStyle w:val="Tables"/>
        <w:spacing w:before="0"/>
        <w:rPr>
          <w:b w:val="0"/>
          <w:bCs w:val="0"/>
          <w:sz w:val="20"/>
          <w:szCs w:val="20"/>
        </w:rPr>
      </w:pPr>
      <w:r w:rsidRPr="004A39B3">
        <w:rPr>
          <w:sz w:val="20"/>
          <w:szCs w:val="20"/>
        </w:rPr>
        <w:lastRenderedPageBreak/>
        <w:t xml:space="preserve">Table </w:t>
      </w:r>
      <w:r w:rsidR="00356149" w:rsidRPr="004A39B3">
        <w:rPr>
          <w:sz w:val="20"/>
          <w:szCs w:val="20"/>
        </w:rPr>
        <w:t>S</w:t>
      </w:r>
      <w:r w:rsidR="00D44017" w:rsidRPr="004A39B3">
        <w:rPr>
          <w:sz w:val="20"/>
          <w:szCs w:val="20"/>
        </w:rPr>
        <w:t>1</w:t>
      </w:r>
      <w:r w:rsidR="005A7DC0">
        <w:rPr>
          <w:sz w:val="20"/>
          <w:szCs w:val="20"/>
        </w:rPr>
        <w:t>.</w:t>
      </w:r>
      <w:r w:rsidR="009427B6">
        <w:rPr>
          <w:sz w:val="20"/>
          <w:szCs w:val="20"/>
        </w:rPr>
        <w:t xml:space="preserve">  </w:t>
      </w:r>
      <w:r w:rsidRPr="0078696A">
        <w:rPr>
          <w:bCs w:val="0"/>
          <w:sz w:val="20"/>
          <w:szCs w:val="20"/>
        </w:rPr>
        <w:t xml:space="preserve">Pellet parameters before and after DRI experiments and the main changes </w:t>
      </w:r>
      <w:r w:rsidR="0078696A">
        <w:rPr>
          <w:bCs w:val="0"/>
          <w:sz w:val="20"/>
          <w:szCs w:val="20"/>
        </w:rPr>
        <w:t>for each experimental condition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700"/>
        <w:gridCol w:w="897"/>
        <w:gridCol w:w="1340"/>
        <w:gridCol w:w="729"/>
        <w:gridCol w:w="217"/>
        <w:gridCol w:w="877"/>
        <w:gridCol w:w="1306"/>
        <w:gridCol w:w="729"/>
        <w:gridCol w:w="217"/>
        <w:gridCol w:w="1314"/>
        <w:gridCol w:w="1643"/>
        <w:gridCol w:w="1009"/>
      </w:tblGrid>
      <w:tr w:rsidR="00901FC9" w:rsidRPr="004A39B3" w14:paraId="4F7B1AC4" w14:textId="77777777" w:rsidTr="00B375DF">
        <w:trPr>
          <w:trHeight w:val="288"/>
          <w:jc w:val="center"/>
        </w:trPr>
        <w:tc>
          <w:tcPr>
            <w:tcW w:w="80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E203" w14:textId="44748C86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en-US" w:eastAsia="pt-BR"/>
              </w:rPr>
            </w:pP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Exp.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E442" w14:textId="77777777" w:rsidR="00B375DF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Reduction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3DFB392" w14:textId="77777777" w:rsidR="00B375DF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>temperature,</w:t>
            </w:r>
          </w:p>
          <w:p w14:paraId="148A4DC2" w14:textId="76779017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T</w:t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>/ °C</w:t>
            </w:r>
          </w:p>
        </w:tc>
        <w:tc>
          <w:tcPr>
            <w:tcW w:w="103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187A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Initial</w:t>
            </w:r>
          </w:p>
        </w:tc>
        <w:tc>
          <w:tcPr>
            <w:tcW w:w="76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4BEA1F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6D06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Final</w:t>
            </w:r>
          </w:p>
        </w:tc>
        <w:tc>
          <w:tcPr>
            <w:tcW w:w="7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36C6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4197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Changes</w:t>
            </w:r>
          </w:p>
        </w:tc>
      </w:tr>
      <w:tr w:rsidR="00901FC9" w:rsidRPr="004A39B3" w14:paraId="62F60EF6" w14:textId="77777777" w:rsidTr="00B375DF">
        <w:trPr>
          <w:trHeight w:val="552"/>
          <w:jc w:val="center"/>
        </w:trPr>
        <w:tc>
          <w:tcPr>
            <w:tcW w:w="80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B409" w14:textId="0B7FE4AE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D8725" w14:textId="1099C95B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DC339" w14:textId="3F481FD7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m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0</w:t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>/ 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733E7" w14:textId="443B1135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d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 xml:space="preserve">p,0 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 / mm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F08B9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ε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78F3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2D0A8" w14:textId="60F98824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m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f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 / </w:t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B705C" w14:textId="6E734558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d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 xml:space="preserve">p,f 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 / </w:t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23D29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ε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f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2027" w14:textId="77777777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7A0E" w14:textId="68E07050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 xml:space="preserve">Mass / </w:t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5350" w14:textId="211ECE2A" w:rsidR="00901FC9" w:rsidRPr="0078696A" w:rsidRDefault="00901FC9" w:rsidP="006724C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>Volume / 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6F0F1" w14:textId="49973BB3" w:rsidR="00901FC9" w:rsidRPr="0078696A" w:rsidRDefault="00901FC9" w:rsidP="007869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ε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f</w:t>
            </w:r>
            <w:r w:rsidRPr="00C85A1F"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0"/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78696A">
              <w:rPr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8696A">
              <w:rPr>
                <w:bCs/>
                <w:i/>
                <w:color w:val="000000"/>
                <w:sz w:val="20"/>
                <w:szCs w:val="20"/>
                <w:lang w:eastAsia="pt-BR"/>
              </w:rPr>
              <w:t>ε</w:t>
            </w:r>
            <w:r w:rsidRPr="0078696A">
              <w:rPr>
                <w:bCs/>
                <w:color w:val="000000"/>
                <w:sz w:val="20"/>
                <w:szCs w:val="20"/>
                <w:vertAlign w:val="subscript"/>
                <w:lang w:eastAsia="pt-BR"/>
              </w:rPr>
              <w:t>0</w:t>
            </w:r>
          </w:p>
        </w:tc>
      </w:tr>
      <w:tr w:rsidR="00901FC9" w:rsidRPr="004A39B3" w14:paraId="7A9BD7DB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E32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60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710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5.449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A91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15.2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6EA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326A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C08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3.899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89F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15.09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351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E9A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A93F" w14:textId="47C70AFB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8C035" w14:textId="57E27A60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A7C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0.31</w:t>
            </w:r>
          </w:p>
        </w:tc>
      </w:tr>
      <w:tr w:rsidR="00901FC9" w:rsidRPr="004A39B3" w14:paraId="003778CC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E6D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B0BC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736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2.498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AFC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2C3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478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97B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1.804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8F5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DAB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579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045C2" w14:textId="3E81E3AB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D29C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7D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0.33</w:t>
            </w:r>
          </w:p>
        </w:tc>
      </w:tr>
      <w:tr w:rsidR="00901FC9" w:rsidRPr="004A39B3" w14:paraId="4455D2C5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29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C8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842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7.108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C2C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16.6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3AD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145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C16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5.115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23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16.50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674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D4F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C88A1" w14:textId="05C7A71E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6939" w14:textId="0423FE80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64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0.31</w:t>
            </w:r>
          </w:p>
        </w:tc>
      </w:tr>
      <w:tr w:rsidR="00901FC9" w:rsidRPr="004A39B3" w14:paraId="66627A60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99F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A71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40E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3.024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067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BD7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C3D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BC0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2.193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14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12.32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2E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3A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8079" w14:textId="077D15EC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6445" w14:textId="059F3760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7B6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0.28</w:t>
            </w:r>
          </w:p>
        </w:tc>
      </w:tr>
      <w:tr w:rsidR="00901FC9" w:rsidRPr="004A39B3" w14:paraId="273C514E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A6E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4A6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0E8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2.248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992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36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CF15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CC9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1.604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E5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11.21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A04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75C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1E653" w14:textId="00C50A71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DD6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3B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0.33</w:t>
            </w:r>
          </w:p>
        </w:tc>
      </w:tr>
      <w:tr w:rsidR="00901FC9" w:rsidRPr="004A39B3" w14:paraId="1DE3CCDC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DC3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799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6E7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5.597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589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15.0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BF5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840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AD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4.026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E86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14.99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9C6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894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9101" w14:textId="6546D25C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0CB3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21B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0.34</w:t>
            </w:r>
          </w:p>
        </w:tc>
      </w:tr>
      <w:tr w:rsidR="00901FC9" w:rsidRPr="004A39B3" w14:paraId="60279826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DEE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FD1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304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3.112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4CD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870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11B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1CA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2.219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183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12.49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E8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58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A74DD" w14:textId="65B30CDA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0FA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EC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0.35</w:t>
            </w:r>
          </w:p>
        </w:tc>
      </w:tr>
      <w:tr w:rsidR="00901FC9" w:rsidRPr="004A39B3" w14:paraId="4162DFB7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C6A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1''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5D7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7DF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4.005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122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50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398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29D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2.845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EF1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C75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F0B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07A7" w14:textId="3EBC6EC8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587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CB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0.34</w:t>
            </w:r>
          </w:p>
        </w:tc>
      </w:tr>
      <w:tr w:rsidR="00901FC9" w:rsidRPr="004A39B3" w14:paraId="35D292E0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51B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1'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91F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D0E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4.005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61F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537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E28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269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2.850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7A3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13.99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B0D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46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9ACFA" w14:textId="432E2266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C6F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AE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0.34</w:t>
            </w:r>
          </w:p>
        </w:tc>
      </w:tr>
      <w:tr w:rsidR="00901FC9" w:rsidRPr="004A39B3" w14:paraId="2783F64C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37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73A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90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7.247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C81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16.5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E87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CE3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A5B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5.199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659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17.12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607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C25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15887" w14:textId="4E1C6AFC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1EB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2CF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0.35</w:t>
            </w:r>
          </w:p>
        </w:tc>
      </w:tr>
      <w:tr w:rsidR="00901FC9" w:rsidRPr="004A39B3" w14:paraId="43ED58DE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9C4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FB0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8F1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1.794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DB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10.5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125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521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293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1.276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46E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10.71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FF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C93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9DD9" w14:textId="6304FA2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574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F7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0.33</w:t>
            </w:r>
          </w:p>
        </w:tc>
      </w:tr>
      <w:tr w:rsidR="00901FC9" w:rsidRPr="004A39B3" w14:paraId="2BE303A3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058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E85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63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3.906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45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81F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076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59E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2.769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D2E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DBA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DAA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00DE" w14:textId="2DCB9834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32F3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763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0.34</w:t>
            </w:r>
          </w:p>
        </w:tc>
      </w:tr>
      <w:tr w:rsidR="00901FC9" w:rsidRPr="004A39B3" w14:paraId="3AE7FF31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F594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0190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6AF4E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4.622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1E28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14.7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B960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76D9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94655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3.285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1985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16.00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F4A7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82B18" w14:textId="08CDC6F5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3A013A" w14:textId="2C0D5AE3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4DC8D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29.7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DBCF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0.36</w:t>
            </w:r>
          </w:p>
        </w:tc>
      </w:tr>
      <w:tr w:rsidR="00901FC9" w:rsidRPr="004A39B3" w14:paraId="0BC27B25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5C70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040C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57DE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2.214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BC79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46F9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DA43E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CEB4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1.572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A2F1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12.12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DB01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A4729" w14:textId="59565DE0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A8EF0D" w14:textId="7908ED66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E782A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B9AE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0.33</w:t>
            </w:r>
          </w:p>
        </w:tc>
      </w:tr>
      <w:tr w:rsidR="00901FC9" w:rsidRPr="004A39B3" w14:paraId="35520871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AEB2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BC6D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1108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CE1B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4.424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AF7E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13.8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55200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0.35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BA6E7B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D388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3.141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DE76B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14.12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C7AD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0.72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113FE" w14:textId="615C2F0B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E8F694" w14:textId="15A7B856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48569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FD6D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0.37</w:t>
            </w:r>
          </w:p>
        </w:tc>
      </w:tr>
      <w:tr w:rsidR="00901FC9" w:rsidRPr="004A39B3" w14:paraId="6C75E63B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AA71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85D71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1190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3C57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2.534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C3F80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11.7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CEB5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FD3A4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18F2E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1.797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ECC4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13.14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071B9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0.80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7B88D" w14:textId="28859C94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8FB3BE" w14:textId="5AACC11C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EF548A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B2E2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0.41</w:t>
            </w:r>
          </w:p>
        </w:tc>
      </w:tr>
      <w:tr w:rsidR="00901FC9" w:rsidRPr="004A39B3" w14:paraId="5654697A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E4678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225C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1195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9BC67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5.058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3D8CA4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14.8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94585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FCE64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AAE92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3.584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7F826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16.70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7A3D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0.81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66239" w14:textId="28D49C9A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731818" w14:textId="35D62ADB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70466F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44.4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AD183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  <w:lang w:eastAsia="pt-BR"/>
              </w:rPr>
              <w:t>0.40</w:t>
            </w:r>
          </w:p>
        </w:tc>
      </w:tr>
      <w:tr w:rsidR="00901FC9" w:rsidRPr="004A39B3" w14:paraId="171D0C30" w14:textId="77777777" w:rsidTr="00B375DF">
        <w:trPr>
          <w:trHeight w:val="288"/>
          <w:jc w:val="center"/>
        </w:trPr>
        <w:tc>
          <w:tcPr>
            <w:tcW w:w="8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5F53D2" w14:textId="630639A5" w:rsidR="00901FC9" w:rsidRPr="00901FC9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01FC9">
              <w:rPr>
                <w:bCs/>
                <w:color w:val="000000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2803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06BDA8" w14:textId="4EFEC34E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A6DEED" w14:textId="764D411E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sym w:font="Symbol" w:char="F02D"/>
            </w:r>
            <w:r w:rsidRPr="004A39B3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C2FE8C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BE92D" w14:textId="77777777" w:rsidR="00901FC9" w:rsidRPr="004A39B3" w:rsidRDefault="00901FC9" w:rsidP="006724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A39B3">
              <w:rPr>
                <w:color w:val="000000"/>
                <w:sz w:val="20"/>
                <w:szCs w:val="20"/>
              </w:rPr>
              <w:t>0.34</w:t>
            </w:r>
          </w:p>
        </w:tc>
      </w:tr>
      <w:tr w:rsidR="00901FC9" w:rsidRPr="004A39B3" w14:paraId="5E3DFFB1" w14:textId="77777777" w:rsidTr="00B375DF">
        <w:trPr>
          <w:trHeight w:val="288"/>
          <w:jc w:val="center"/>
        </w:trPr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6957B1" w14:textId="05E38208" w:rsidR="00901FC9" w:rsidRPr="00901FC9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01FC9">
              <w:rPr>
                <w:bCs/>
                <w:color w:val="000000"/>
                <w:sz w:val="20"/>
                <w:szCs w:val="20"/>
                <w:lang w:eastAsia="pt-BR"/>
              </w:rPr>
              <w:t>Mean (&lt; 1000°C)</w:t>
            </w:r>
          </w:p>
        </w:tc>
        <w:tc>
          <w:tcPr>
            <w:tcW w:w="2803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C6938" w14:textId="4D97AE19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ED75C4" w14:textId="5AD467A1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  <w:tc>
          <w:tcPr>
            <w:tcW w:w="5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BB3BF" w14:textId="77777777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39B3">
              <w:rPr>
                <w:color w:val="000000"/>
                <w:sz w:val="20"/>
                <w:szCs w:val="20"/>
              </w:rPr>
              <w:t>3.36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BB9488" w14:textId="7087E142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</w:tr>
      <w:tr w:rsidR="00901FC9" w:rsidRPr="004A39B3" w14:paraId="3698AEC4" w14:textId="77777777" w:rsidTr="00B375DF">
        <w:trPr>
          <w:trHeight w:val="288"/>
          <w:jc w:val="center"/>
        </w:trPr>
        <w:tc>
          <w:tcPr>
            <w:tcW w:w="8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8724C9" w14:textId="04000DA7" w:rsidR="00901FC9" w:rsidRPr="00901FC9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901FC9">
              <w:rPr>
                <w:bCs/>
                <w:color w:val="000000"/>
                <w:sz w:val="20"/>
                <w:szCs w:val="20"/>
                <w:lang w:eastAsia="pt-BR"/>
              </w:rPr>
              <w:t>Mean (&gt; 1000°C)</w:t>
            </w:r>
          </w:p>
        </w:tc>
        <w:tc>
          <w:tcPr>
            <w:tcW w:w="2803" w:type="pct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8D3A09" w14:textId="5A92D239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  <w:tc>
          <w:tcPr>
            <w:tcW w:w="46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82B2A5" w14:textId="0C632481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  <w:tc>
          <w:tcPr>
            <w:tcW w:w="57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0C3C82" w14:textId="77777777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39B3">
              <w:rPr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35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7A1588" w14:textId="4366A13E" w:rsidR="00901FC9" w:rsidRPr="004A39B3" w:rsidRDefault="00901FC9" w:rsidP="00901FC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BE"/>
            </w:r>
          </w:p>
        </w:tc>
      </w:tr>
    </w:tbl>
    <w:p w14:paraId="47C8B89C" w14:textId="77777777" w:rsidR="0041132B" w:rsidRPr="004A39B3" w:rsidRDefault="0041132B">
      <w:pPr>
        <w:rPr>
          <w:sz w:val="20"/>
          <w:szCs w:val="20"/>
          <w:lang w:val="en-US"/>
        </w:rPr>
      </w:pPr>
    </w:p>
    <w:p w14:paraId="3267A8CF" w14:textId="27F4579E" w:rsidR="000A42FD" w:rsidRPr="004A39B3" w:rsidRDefault="000A42FD" w:rsidP="00F901E9">
      <w:pPr>
        <w:pStyle w:val="Figura"/>
        <w:jc w:val="left"/>
        <w:rPr>
          <w:sz w:val="20"/>
          <w:szCs w:val="20"/>
        </w:rPr>
      </w:pPr>
    </w:p>
    <w:sectPr w:rsidR="000A42FD" w:rsidRPr="004A39B3" w:rsidSect="00F901E9">
      <w:pgSz w:w="16838" w:h="11906" w:orient="landscape"/>
      <w:pgMar w:top="1701" w:right="113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C275" w14:textId="77777777" w:rsidR="00104A61" w:rsidRDefault="00104A61" w:rsidP="00C85A1F">
      <w:pPr>
        <w:spacing w:line="240" w:lineRule="auto"/>
      </w:pPr>
      <w:r>
        <w:separator/>
      </w:r>
    </w:p>
  </w:endnote>
  <w:endnote w:type="continuationSeparator" w:id="0">
    <w:p w14:paraId="37B747D2" w14:textId="77777777" w:rsidR="00104A61" w:rsidRDefault="00104A61" w:rsidP="00C85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079B" w14:textId="77777777" w:rsidR="00104A61" w:rsidRDefault="00104A61" w:rsidP="00C85A1F">
      <w:pPr>
        <w:spacing w:line="240" w:lineRule="auto"/>
      </w:pPr>
      <w:r>
        <w:separator/>
      </w:r>
    </w:p>
  </w:footnote>
  <w:footnote w:type="continuationSeparator" w:id="0">
    <w:p w14:paraId="39A733CC" w14:textId="77777777" w:rsidR="00104A61" w:rsidRDefault="00104A61" w:rsidP="00C85A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DE0tTQyNTC2tLBU0lEKTi0uzszPAykwNKkFAFJlYiwtAAAA"/>
  </w:docVars>
  <w:rsids>
    <w:rsidRoot w:val="00387082"/>
    <w:rsid w:val="000032C0"/>
    <w:rsid w:val="00016838"/>
    <w:rsid w:val="00044E3E"/>
    <w:rsid w:val="00061E5B"/>
    <w:rsid w:val="00074379"/>
    <w:rsid w:val="000A42FD"/>
    <w:rsid w:val="000C77AB"/>
    <w:rsid w:val="00102831"/>
    <w:rsid w:val="00104A61"/>
    <w:rsid w:val="001760E4"/>
    <w:rsid w:val="001972FD"/>
    <w:rsid w:val="001E66C7"/>
    <w:rsid w:val="0022541E"/>
    <w:rsid w:val="0024658C"/>
    <w:rsid w:val="002A744E"/>
    <w:rsid w:val="00310F75"/>
    <w:rsid w:val="00356149"/>
    <w:rsid w:val="0036235F"/>
    <w:rsid w:val="00387082"/>
    <w:rsid w:val="003A39C8"/>
    <w:rsid w:val="003A594F"/>
    <w:rsid w:val="003F3666"/>
    <w:rsid w:val="0041132B"/>
    <w:rsid w:val="0041469A"/>
    <w:rsid w:val="004414E1"/>
    <w:rsid w:val="004471EF"/>
    <w:rsid w:val="004A39B3"/>
    <w:rsid w:val="004E68BB"/>
    <w:rsid w:val="00511B52"/>
    <w:rsid w:val="0052633B"/>
    <w:rsid w:val="00552AA2"/>
    <w:rsid w:val="00572CE8"/>
    <w:rsid w:val="005A0541"/>
    <w:rsid w:val="005A7DC0"/>
    <w:rsid w:val="005E1928"/>
    <w:rsid w:val="00612EFD"/>
    <w:rsid w:val="00613AFC"/>
    <w:rsid w:val="00614A78"/>
    <w:rsid w:val="006724CA"/>
    <w:rsid w:val="006F0E84"/>
    <w:rsid w:val="007118FF"/>
    <w:rsid w:val="00740BB5"/>
    <w:rsid w:val="00753378"/>
    <w:rsid w:val="0078696A"/>
    <w:rsid w:val="007B0C61"/>
    <w:rsid w:val="007B7DA9"/>
    <w:rsid w:val="007D0A9E"/>
    <w:rsid w:val="00834846"/>
    <w:rsid w:val="008474B0"/>
    <w:rsid w:val="00862FF1"/>
    <w:rsid w:val="008700A0"/>
    <w:rsid w:val="008A60F5"/>
    <w:rsid w:val="008B099D"/>
    <w:rsid w:val="008D3827"/>
    <w:rsid w:val="008E74AD"/>
    <w:rsid w:val="008F4210"/>
    <w:rsid w:val="00901FC9"/>
    <w:rsid w:val="0091127B"/>
    <w:rsid w:val="009161CE"/>
    <w:rsid w:val="009427B6"/>
    <w:rsid w:val="0096453F"/>
    <w:rsid w:val="009702A6"/>
    <w:rsid w:val="00980665"/>
    <w:rsid w:val="00993833"/>
    <w:rsid w:val="00A10360"/>
    <w:rsid w:val="00A32483"/>
    <w:rsid w:val="00A52484"/>
    <w:rsid w:val="00A5483D"/>
    <w:rsid w:val="00AB4730"/>
    <w:rsid w:val="00AE4606"/>
    <w:rsid w:val="00B375DF"/>
    <w:rsid w:val="00B91D4C"/>
    <w:rsid w:val="00BA4C86"/>
    <w:rsid w:val="00BB66F1"/>
    <w:rsid w:val="00C273A0"/>
    <w:rsid w:val="00C85A1F"/>
    <w:rsid w:val="00C9685C"/>
    <w:rsid w:val="00CD61F4"/>
    <w:rsid w:val="00D44017"/>
    <w:rsid w:val="00D9492B"/>
    <w:rsid w:val="00DA44DD"/>
    <w:rsid w:val="00DB16F3"/>
    <w:rsid w:val="00E07D45"/>
    <w:rsid w:val="00E16B9C"/>
    <w:rsid w:val="00E40D03"/>
    <w:rsid w:val="00E675BF"/>
    <w:rsid w:val="00EB0BE7"/>
    <w:rsid w:val="00EC1796"/>
    <w:rsid w:val="00F74B41"/>
    <w:rsid w:val="00F901E9"/>
    <w:rsid w:val="00FA1F69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3F395"/>
  <w14:defaultImageDpi w14:val="32767"/>
  <w15:chartTrackingRefBased/>
  <w15:docId w15:val="{38D4533C-9883-4557-9AE3-0EFF0E7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8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sChar">
    <w:name w:val="Tables Char"/>
    <w:basedOn w:val="a0"/>
    <w:link w:val="Tables"/>
    <w:locked/>
    <w:rsid w:val="00387082"/>
    <w:rPr>
      <w:rFonts w:ascii="Times New Roman" w:hAnsi="Times New Roman" w:cs="Times New Roman"/>
      <w:b/>
      <w:bCs/>
      <w:szCs w:val="24"/>
      <w:lang w:val="en-GB" w:eastAsia="it-IT"/>
    </w:rPr>
  </w:style>
  <w:style w:type="paragraph" w:customStyle="1" w:styleId="Tables">
    <w:name w:val="Tables"/>
    <w:basedOn w:val="a"/>
    <w:link w:val="TablesChar"/>
    <w:qFormat/>
    <w:rsid w:val="00387082"/>
    <w:pPr>
      <w:tabs>
        <w:tab w:val="left" w:pos="567"/>
      </w:tabs>
      <w:autoSpaceDE w:val="0"/>
      <w:autoSpaceDN w:val="0"/>
      <w:spacing w:before="240" w:after="120" w:line="240" w:lineRule="auto"/>
      <w:jc w:val="center"/>
    </w:pPr>
    <w:rPr>
      <w:rFonts w:eastAsiaTheme="minorHAnsi"/>
      <w:b/>
      <w:bCs/>
      <w:sz w:val="22"/>
      <w:lang w:eastAsia="it-IT"/>
    </w:rPr>
  </w:style>
  <w:style w:type="paragraph" w:customStyle="1" w:styleId="Figura">
    <w:name w:val="Figura"/>
    <w:basedOn w:val="a3"/>
    <w:link w:val="FiguraChar"/>
    <w:qFormat/>
    <w:rsid w:val="00387082"/>
    <w:pPr>
      <w:spacing w:after="360"/>
      <w:jc w:val="center"/>
    </w:pPr>
    <w:rPr>
      <w:b/>
      <w:bCs/>
      <w:i w:val="0"/>
      <w:iCs w:val="0"/>
      <w:color w:val="auto"/>
      <w:sz w:val="22"/>
      <w:szCs w:val="22"/>
      <w:lang w:val="de-DE" w:eastAsia="de-DE"/>
    </w:rPr>
  </w:style>
  <w:style w:type="character" w:customStyle="1" w:styleId="FiguraChar">
    <w:name w:val="Figura Char"/>
    <w:basedOn w:val="a0"/>
    <w:link w:val="Figura"/>
    <w:rsid w:val="00387082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a3">
    <w:name w:val="caption"/>
    <w:basedOn w:val="a"/>
    <w:next w:val="a"/>
    <w:link w:val="a4"/>
    <w:uiPriority w:val="35"/>
    <w:unhideWhenUsed/>
    <w:qFormat/>
    <w:rsid w:val="003870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题注 字符"/>
    <w:basedOn w:val="a0"/>
    <w:link w:val="a3"/>
    <w:uiPriority w:val="35"/>
    <w:rsid w:val="008D3827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GB"/>
    </w:rPr>
  </w:style>
  <w:style w:type="character" w:customStyle="1" w:styleId="TextFirstParagraphChar">
    <w:name w:val="Text_First_Paragraph Char"/>
    <w:link w:val="TextFirstParagraph"/>
    <w:locked/>
    <w:rsid w:val="00613AFC"/>
    <w:rPr>
      <w:szCs w:val="24"/>
      <w:lang w:val="en-GB" w:eastAsia="it-IT"/>
    </w:rPr>
  </w:style>
  <w:style w:type="paragraph" w:customStyle="1" w:styleId="TextFirstParagraph">
    <w:name w:val="Text_First_Paragraph"/>
    <w:basedOn w:val="a"/>
    <w:link w:val="TextFirstParagraphChar"/>
    <w:rsid w:val="00613AFC"/>
    <w:pPr>
      <w:spacing w:line="240" w:lineRule="auto"/>
      <w:jc w:val="both"/>
    </w:pPr>
    <w:rPr>
      <w:rFonts w:asciiTheme="minorHAnsi" w:eastAsiaTheme="minorHAnsi" w:hAnsiTheme="minorHAnsi" w:cstheme="minorBidi"/>
      <w:sz w:val="22"/>
      <w:lang w:eastAsia="it-IT"/>
    </w:rPr>
  </w:style>
  <w:style w:type="character" w:styleId="a5">
    <w:name w:val="annotation reference"/>
    <w:basedOn w:val="a0"/>
    <w:uiPriority w:val="99"/>
    <w:semiHidden/>
    <w:unhideWhenUsed/>
    <w:rsid w:val="00FC34B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C34BC"/>
    <w:pPr>
      <w:spacing w:after="240" w:line="240" w:lineRule="auto"/>
      <w:jc w:val="both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a7">
    <w:name w:val="批注文字 字符"/>
    <w:basedOn w:val="a0"/>
    <w:link w:val="a6"/>
    <w:uiPriority w:val="99"/>
    <w:rsid w:val="00FC34BC"/>
    <w:rPr>
      <w:rFonts w:ascii="Times New Roman" w:hAnsi="Times New Roman"/>
      <w:sz w:val="20"/>
      <w:szCs w:val="20"/>
      <w:lang w:val="en-US"/>
    </w:rPr>
  </w:style>
  <w:style w:type="paragraph" w:customStyle="1" w:styleId="a8">
    <w:name w:val="大标题"/>
    <w:basedOn w:val="a"/>
    <w:next w:val="a"/>
    <w:qFormat/>
    <w:rsid w:val="000C77AB"/>
    <w:pPr>
      <w:adjustRightInd w:val="0"/>
      <w:spacing w:before="120" w:afterLines="100" w:after="100" w:line="360" w:lineRule="exact"/>
      <w:jc w:val="both"/>
    </w:pPr>
    <w:rPr>
      <w:b/>
      <w:sz w:val="30"/>
      <w:szCs w:val="22"/>
      <w:lang w:val="en-US" w:eastAsia="en-US"/>
    </w:rPr>
  </w:style>
  <w:style w:type="paragraph" w:customStyle="1" w:styleId="a9">
    <w:name w:val="作者"/>
    <w:basedOn w:val="a"/>
    <w:next w:val="a"/>
    <w:qFormat/>
    <w:rsid w:val="000C77AB"/>
    <w:pPr>
      <w:spacing w:after="120" w:line="288" w:lineRule="auto"/>
    </w:pPr>
    <w:rPr>
      <w:i/>
      <w:szCs w:val="22"/>
      <w:lang w:val="en-US" w:eastAsia="en-US"/>
    </w:rPr>
  </w:style>
  <w:style w:type="paragraph" w:customStyle="1" w:styleId="aa">
    <w:name w:val="作者单位"/>
    <w:basedOn w:val="a"/>
    <w:next w:val="a"/>
    <w:qFormat/>
    <w:rsid w:val="000C77AB"/>
    <w:pPr>
      <w:jc w:val="both"/>
    </w:pPr>
    <w:rPr>
      <w:sz w:val="1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8696A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8696A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ad">
    <w:name w:val="header"/>
    <w:basedOn w:val="a"/>
    <w:link w:val="ae"/>
    <w:uiPriority w:val="99"/>
    <w:unhideWhenUsed/>
    <w:rsid w:val="00C8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85A1F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af">
    <w:name w:val="footer"/>
    <w:basedOn w:val="a"/>
    <w:link w:val="af0"/>
    <w:uiPriority w:val="99"/>
    <w:unhideWhenUsed/>
    <w:rsid w:val="00C85A1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85A1F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Metolina</dc:creator>
  <cp:keywords/>
  <dc:description/>
  <cp:lastModifiedBy>陈佩仙</cp:lastModifiedBy>
  <cp:revision>18</cp:revision>
  <cp:lastPrinted>2021-10-31T04:01:00Z</cp:lastPrinted>
  <dcterms:created xsi:type="dcterms:W3CDTF">2022-02-24T04:20:00Z</dcterms:created>
  <dcterms:modified xsi:type="dcterms:W3CDTF">2022-06-10T08:15:00Z</dcterms:modified>
</cp:coreProperties>
</file>